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3A4E"/>
          <w:sz w:val="28"/>
          <w:szCs w:val="28"/>
        </w:rPr>
        <w:t xml:space="preserve">RESUMO CONTRATUAL PARA ANÁLISE CONTÁBIL E TRIBUTÁRIA</w:t>
      </w:r>
    </w:p>
    <w:p>
      <w:pPr>
        <w:pBdr>
          <w:bottom w:val="single" w:color="2B3A4E" w:sz="6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Contrato: TopMed x H&amp;S Group Ltda | BIaaS</w:t>
      </w:r>
    </w:p>
    <w:p>
      <w:pPr>
        <w:pStyle w:val="Heading1"/>
      </w:pPr>
      <w:r>
        <w:t xml:space="preserve">1. Dados das Partes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TopMed Assistência à Saúde Ltda.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CNPJ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05.791.085/0001-97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Sebastião Furtado Pereira, 60, 10º andar, Torre II, Barreiros, São José/SC, CEP 88117-400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H&amp;S Group Ltda.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CNPJ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60.173.541/0001-43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Rua Iguape, 333, Apto. 1041, Itoupava Seca, Blumenau/SC, CEP 89030-112</w:t>
            </w:r>
          </w:p>
        </w:tc>
      </w:tr>
    </w:tbl>
    <w:p>
      <w:pPr>
        <w:pStyle w:val="Heading1"/>
      </w:pPr>
      <w:r>
        <w:t xml:space="preserve">2. Objeto e Vigência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Prestação de serviços de Business Intelligence as a Service (BIaaS) — construção, manutenção, evolução e suporte de dashboards analíticos.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Vigência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01/03/2026 a 31/12/2026 (10 meses) — prazo determinado, sem renovação automática.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 guarda-chuva com propostas técnicas específicas por demanda. Sem alocação fixa.</w:t>
            </w:r>
          </w:p>
        </w:tc>
      </w:tr>
    </w:tbl>
    <w:p>
      <w:pPr>
        <w:pStyle w:val="Heading1"/>
      </w:pPr>
      <w:r>
        <w:t xml:space="preserve">3. Condições Financeiras e Tributárias</w:t>
      </w:r>
    </w:p>
    <w:p>
      <w:pPr>
        <w:spacing w:after="100"/>
      </w:pPr>
      <w:r>
        <w:rPr>
          <w:b/>
          <w:bCs/>
          <w:i/>
          <w:iCs/>
          <w:color w:val="CC0000"/>
          <w:sz w:val="22"/>
          <w:szCs w:val="22"/>
        </w:rPr>
        <w:t xml:space="preserve">Este é o bloco mais relevante para análise do contador.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Valor/hora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R$ 100,00 (cem reais) por hora efetivamente prestada.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de cobrança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horas efetivas, conforme proposta técnica aprovada. Pagamento condicionado a relatório detalhado de atividades.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Faturamento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Mensal. Pagamento até dia 10 do mês subsequente à prestação.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Emissão de NF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Até o dia 25 do mês da prestação de serviços. Atraso na NF prorroga o vencimento do pagamento proporcionalmente, sem ônus para a Topmed.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Dados bancários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PENDENTE — conta corrente, agência e banco constam como 'XXX' no contrato. Necessário preencher antes de assinar.</w:t>
            </w:r>
          </w:p>
        </w:tc>
      </w:tr>
    </w:tbl>
    <w:p>
      <w:pPr>
        <w:pStyle w:val="Heading2"/>
      </w:pPr>
      <w:r>
        <w:t xml:space="preserve">3.1. Tributos — Pontos Críticos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Risco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Retenção na fonte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Cláusula 3: A Topmed está AUTORIZADA a reter na fonte impostos, taxas e contribuições previstos em lei. Isso pode incluir ISS, IRRF, CSLL, PIS/COFINS dependendo do regime tributário da H&amp;S e do município. CALCULAR O IMPACTO NO VALOR LÍQUIDO POR HORA.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 tributária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Cláusula 3: Todos os impostos, taxas, contribuições e encargos estão inclusos no valor de R$ 100/h. A responsabilidade fiscal e tributária é integralmente da H&amp;S.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 — município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Verificar: serviço prestado remotamente de Blumenau/SC para contratante em São José/SC. Definir onde o ISS é devido (município do prestador ou do tomador) conforme LC 116/2003 e legislação municipal. Verificar se há convênio ou protocolo entre os municípios.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CNAE aplicável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se o CNAE da H&amp;S cobre adequadamente a atividade de 'Business Intelligence as a Service' / consultoria em tecnologia da informação.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 de serviço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H&amp;S emite NF de prestação de serviço. Verificar se a prefeitura de Blumenau exige alguma especificação para serviço de TI/consultoria e se o código de serviço está correto.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Regime tributário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Simular a carga tributária sobre R$ 100/h no regime atual da H&amp;S (Simples Nacional, Lucro Presumido ou Real). Verificar se o volume esperado de faturamento com esse contrato pode impactar faixa do Simples ou enquadramento.</w:t>
            </w:r>
          </w:p>
        </w:tc>
      </w:tr>
    </w:tbl>
    <w:p>
      <w:pPr>
        <w:pStyle w:val="Heading1"/>
      </w:pPr>
      <w:r>
        <w:t xml:space="preserve">4. Inadimplência e Multas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Multa moratória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2% sobre o valor em atraso.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Juros de mora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 ao mês, pro rata die, a partir do vencimento.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Suspensão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Inadimplência superior a 15 dias = suspensão automática dos serviços.</w:t>
            </w:r>
          </w:p>
        </w:tc>
      </w:tr>
    </w:tbl>
    <w:p>
      <w:pPr>
        <w:pStyle w:val="Heading1"/>
      </w:pPr>
      <w:r>
        <w:t xml:space="preserve">5. Despesas e Reembolsos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valor de R$ 100/h compreende TODAS as despesas e custos, diretos e indiretos, da H&amp;S (impostos, encargos trabalhistas, seguros,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Despesas extraordinárias só serão reembolsadas se previamente solicitadas e autorizadas por escrito pela Topmed.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Custos ordinários da atividade da H&amp;S NÃO são reembolsáveis.</w:t>
      </w:r>
    </w:p>
    <w:p>
      <w:pPr>
        <w:pStyle w:val="Heading1"/>
      </w:pPr>
      <w:r>
        <w:t xml:space="preserve">6. Obrigações com Impacto Contábil/Tributário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Cláusula 13, §1: A H&amp;S deve cumprir todas as disposições legais de relação de emprego, política salarial, seguridade e previdência social.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Cláusula 13, §2: Se colaborador da H&amp;S mover ação trabalhista contra a Topmed, a H&amp;S indeniza inclusive honorários advocatícios fixados em 20% sobre o valor da causa.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Cláusula 13 (caput): Não há vínculo empregatício entre as partes. Cada uma arca com seus encargos trabalhistas, previdenciários e tributários.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Cláusula 6, alínea 'l': Obrigação de usar apenas programas e equipamentos legalmente adquiridos (impacto em despesas de software/licenças).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Cláusula 19 (Anticorrupção): Declarações extensas de compliance, anticorrupção e anti-lavagem. Violação = rescisão imediata.</w:t>
      </w:r>
    </w:p>
    <w:p>
      <w:pPr>
        <w:pStyle w:val="Heading1"/>
      </w:pPr>
      <w:r>
        <w:t xml:space="preserve">7. Rescisão — Impacto no Faturamento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Rescisão imotivada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Qualquer parte pode rescindir com 10 dias de aviso, sem multa. Pagamento proporcional ao serviço prestado.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Término automático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31/12/2026 — sem renovação automática. Serviços prestados após essa data sem autorização escrita podem NÃO ser remunerados.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Rescisão motivada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Imediata por descumprimento de compliance, confidencialidade, urbanidade ou não-concorrência. Sem aviso prévio.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 qualquer rescisão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Topmed paga proporcionalmente os serviços efetivamente prestados até a data da rescisão.</w:t>
            </w:r>
          </w:p>
        </w:tc>
      </w:tr>
    </w:tbl>
    <w:p>
      <w:pPr>
        <w:pStyle w:val="Heading1"/>
      </w:pPr>
      <w:r>
        <w:t xml:space="preserve">8. Checklist para o Contador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Itens que precisam de análise/ação antes da assinatura: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Calcular valor líquido por hora considerando todas as retenções aplicáveis (ISS, IRRF, CSLL, PIS/COFINS).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Definir município de incidência do ISS (Blumenau x São José) e alíquota aplicável.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Confirmar que o CNAE da H&amp;S comporta a atividade descrita no contrato.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Verificar impacto no enquadramento tributário (faixa do Simples, se aplicável) com o volume estimado de faturamento.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Preencher dados bancários no contrato (conta, agência, banco) — atualmente constam como 'XXX'.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Definir código de serviço correto para emissão da NF de prestação de serviço.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Atentar para o prazo de emissão da NF: até dia 25 do mês da prestação. Atraso = atraso no recebimento.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Verificar se a H&amp;S precisa de algum cadastro/habilitação específica para prestar serviço a empresa de saúde (São José/SC).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Simular cenários de faturamento mensal para planejamento de fluxo de caixa (pagamento só no dia 10 do mês seguinte).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Avaliar necessidade de seguro de responsabilidade civil profissional (E&amp;O), dado que o contrato não limita a responsabilidade da H&amp;S.</w:t>
      </w:r>
    </w:p>
    <w:p>
      <w:pPr>
        <w:pBdr>
          <w:top w:val="single" w:color="CCCCCC" w:sz="4" w:space="8"/>
        </w:pBdr>
        <w:spacing w:before="400"/>
      </w:pPr>
      <w:r>
        <w:rPr>
          <w:i/>
          <w:iCs/>
          <w:color w:val="999999"/>
          <w:sz w:val="18"/>
          <w:szCs w:val="18"/>
        </w:rPr>
        <w:t xml:space="preserve">Documento preparado para análise contábil e tributária. Não substitui análise jurídica.</w:t>
      </w:r>
    </w:p>
    <w:p>
      <w:r>
        <w:rPr>
          <w:i/>
          <w:iCs/>
          <w:color w:val="999999"/>
          <w:sz w:val="18"/>
          <w:szCs w:val="18"/>
        </w:rPr>
        <w:t xml:space="preserve">Referência: Contrato TopMed x H&amp;S Group Ltda — Prestação de Serviços BIaaS v1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3A4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3A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2026-02-25T13:21:59.522Z</dcterms:created>
  <dcterms:modified xsi:type="dcterms:W3CDTF">2026-02-25T13:21:59.523Z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