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- Referencia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- Referencia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CB004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CB010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CB001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CB008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CB012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CB024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340.0 gr en los sectores: Relevamientos Intermedios, Perímetro Externo, Otros Sectores / Ajuste.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 numero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numero 5 bloqueada por obras.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 reemplazo de la placa uv correspondiente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renuevan placas en trampas uv 9 placas en total , trampa numero 4 fuera de servicio</w:t>
        <w:br/>
        <w:t>- Se renuevan placas UV, 8 en total. Trampa UV numero 5 bloqueada por obras.</w:t>
        <w:br/>
        <w:t>- Se reemplaza tira led por baja intensidad y junto con ello y reemplazo de la placa uv correspondiente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5ml</w:t>
            </w:r>
          </w:p>
        </w:tc>
        <w:tc>
          <w:tcPr>
            <w:tcW w:type="dxa" w:w="1440"/>
          </w:tcPr>
          <w:p>
            <w:r>
              <w:t>3Lt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5ml</w:t>
            </w:r>
          </w:p>
        </w:tc>
        <w:tc>
          <w:tcPr>
            <w:tcW w:type="dxa" w:w="1440"/>
          </w:tcPr>
          <w:p>
            <w:r>
              <w:t>3Lt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