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9688"/>
          <w:sz w:val="48"/>
        </w:rPr>
        <w:t>INFORME MIP MENSUAL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Cliente:</w:t>
            </w:r>
          </w:p>
        </w:tc>
        <w:tc>
          <w:tcPr>
            <w:tcW w:type="dxa" w:w="2160"/>
          </w:tcPr>
          <w:p>
            <w:r>
              <w:t>Calsa Planta 4</w:t>
            </w:r>
          </w:p>
        </w:tc>
        <w:tc>
          <w:tcPr>
            <w:tcW w:type="dxa" w:w="2160"/>
          </w:tcPr>
          <w:p>
            <w:r>
              <w:t>Mes:</w:t>
            </w:r>
          </w:p>
        </w:tc>
        <w:tc>
          <w:tcPr>
            <w:tcW w:type="dxa" w:w="2160"/>
          </w:tcPr>
          <w:p>
            <w:r>
              <w:t>Enero</w:t>
            </w:r>
          </w:p>
        </w:tc>
      </w:tr>
      <w:tr>
        <w:tc>
          <w:tcPr>
            <w:tcW w:type="dxa" w:w="2160"/>
          </w:tcPr>
          <w:p>
            <w:r>
              <w:t>Sucursal:</w:t>
            </w:r>
          </w:p>
        </w:tc>
        <w:tc>
          <w:tcPr>
            <w:tcW w:type="dxa" w:w="2160"/>
          </w:tcPr>
          <w:p>
            <w:r>
              <w:t>Planta 4</w:t>
            </w:r>
          </w:p>
        </w:tc>
        <w:tc>
          <w:tcPr>
            <w:tcW w:type="dxa" w:w="2160"/>
          </w:tcPr>
          <w:p>
            <w:r>
              <w:t>Año: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</w:tr>
    </w:tbl>
    <w:p/>
    <w:p>
      <w:pPr>
        <w:pStyle w:val="Heading1"/>
      </w:pPr>
      <w:r>
        <w:rPr>
          <w:color w:val="009688"/>
        </w:rPr>
        <w:t>Control de Roedores</w:t>
      </w:r>
    </w:p>
    <w:p>
      <w:r>
        <w:t>Estaciones Perímetro Externo: X</w:t>
      </w:r>
    </w:p>
    <w:p>
      <w:r>
        <w:t>Estaciones Perímetro Interno: X</w:t>
      </w:r>
    </w:p>
    <w:p>
      <w:pPr>
        <w:pStyle w:val="Heading2"/>
      </w:pPr>
      <w:r>
        <w:rPr>
          <w:color w:val="009688"/>
        </w:rPr>
        <w:t>Desvíos del 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Observaciones</w:t>
            </w:r>
          </w:p>
        </w:tc>
      </w:tr>
    </w:tbl>
    <w:p>
      <w:pPr>
        <w:pStyle w:val="Heading2"/>
      </w:pPr>
      <w:r>
        <w:rPr>
          <w:color w:val="009688"/>
        </w:rPr>
        <w:t>Resumen de Tratamiento - Roedores</w:t>
      </w:r>
    </w:p>
    <w:p>
      <w:r>
        <w:t>Se realizaron 0 monitoreo(s) de estaciones de control durante el mes. Se efectuaron la limpieza y reposición de cebos y placas en todos los puntos de control.</w:t>
        <w:br/>
        <w:br/>
        <w:t>No se registraron capturas durante el mes.</w:t>
        <w:br/>
        <w:br/>
        <w:t>Se recomienda evitar la acumulación de materias primas y mantener el orden en sectores relevados. Se continúa con las tareas preventivas y correctivas hasta el control total de los desvíos.</w:t>
      </w:r>
    </w:p>
    <w:p>
      <w:r>
        <w:br w:type="page"/>
      </w:r>
    </w:p>
    <w:p>
      <w:pPr>
        <w:pStyle w:val="Heading1"/>
      </w:pPr>
      <w:r>
        <w:rPr>
          <w:color w:val="009688"/>
        </w:rPr>
        <w:t>Control de Voladores</w:t>
      </w:r>
    </w:p>
    <w:p>
      <w:pPr>
        <w:pStyle w:val="Heading2"/>
      </w:pPr>
      <w:r>
        <w:rPr>
          <w:color w:val="009688"/>
        </w:rPr>
        <w:t>Observaciones del 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Observaciones</w:t>
            </w:r>
          </w:p>
        </w:tc>
      </w:tr>
    </w:tbl>
    <w:p>
      <w:pPr>
        <w:pStyle w:val="Heading2"/>
      </w:pPr>
      <w:r>
        <w:rPr>
          <w:color w:val="009688"/>
        </w:rPr>
        <w:t>Resumen de Tratamiento - Voladores</w:t>
      </w:r>
    </w:p>
    <w:p>
      <w:r>
        <w:t>No se realizaron servicios de control de voladores ni relevamientos de trampas UV en este período.</w:t>
      </w:r>
    </w:p>
    <w:p>
      <w:pPr>
        <w:pStyle w:val="Heading1"/>
      </w:pPr>
      <w:r>
        <w:rPr>
          <w:color w:val="009688"/>
        </w:rPr>
        <w:t>Control de Rastreros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Fecha</w:t>
            </w:r>
          </w:p>
        </w:tc>
        <w:tc>
          <w:tcPr>
            <w:tcW w:type="dxa" w:w="1440"/>
          </w:tcPr>
          <w:p>
            <w:r>
              <w:t>Producto</w:t>
            </w:r>
          </w:p>
        </w:tc>
        <w:tc>
          <w:tcPr>
            <w:tcW w:type="dxa" w:w="1440"/>
          </w:tcPr>
          <w:p>
            <w:r>
              <w:t>P. Activo</w:t>
            </w:r>
          </w:p>
        </w:tc>
        <w:tc>
          <w:tcPr>
            <w:tcW w:type="dxa" w:w="1440"/>
          </w:tcPr>
          <w:p>
            <w:r>
              <w:t>Dosis</w:t>
            </w:r>
          </w:p>
        </w:tc>
        <w:tc>
          <w:tcPr>
            <w:tcW w:type="dxa" w:w="1440"/>
          </w:tcPr>
          <w:p>
            <w:r>
              <w:t>Cant</w:t>
            </w:r>
          </w:p>
        </w:tc>
        <w:tc>
          <w:tcPr>
            <w:tcW w:type="dxa" w:w="1440"/>
          </w:tcPr>
          <w:p>
            <w:r>
              <w:t>Sectores</w:t>
            </w:r>
          </w:p>
        </w:tc>
      </w:tr>
    </w:tbl>
    <w:p>
      <w:pPr>
        <w:pStyle w:val="Heading1"/>
      </w:pPr>
      <w:r>
        <w:rPr>
          <w:color w:val="009688"/>
        </w:rPr>
        <w:t>Conclusión General</w:t>
      </w:r>
    </w:p>
    <w:p>
      <w:pPr>
        <w:jc w:val="both"/>
      </w:pPr>
      <w:r>
        <w:t>Durante Enero 2026, los tratamientos perimetrales, controles de roedores y monitoreos de insectos voladores se desarrollaron según lo planificado, manteniendo la cobertura preventiva en todos los sectores.</w:t>
        <w:br/>
        <w:br/>
        <w:t>Los resultados de los relevamientos mensuales evidencian el correcto funcionamiento del programa de Manejo Integrado de Plagas (MIP), con acciones preventivas y correctivas implementadas oportunamente.</w:t>
        <w:br/>
        <w:br/>
        <w:t>**Recomendaciones de Exclusión e Higiene:**</w:t>
        <w:br/>
        <w:t>Se recomienda mantener el orden y la limpieza en todos los sectores, evitar la acumulación de materiales e insumos en exteriores, y revisar periódicamente los accesos a interiores para prevenir el ingreso de plagas.</w:t>
        <w:br/>
        <w:br/>
        <w:t>Todas las oportunidades de mejora, relevamientos mediante imágenes, así como las Hojas de Seguridad (HDS) y Certificados de los productos utilizados, se encuentran disponibles en el portal web.</w:t>
      </w:r>
    </w:p>
    <w:p/>
    <w:p>
      <w:pPr>
        <w:jc w:val="right"/>
      </w:pPr>
      <w:r>
        <w:t>Reporte Generado Automáticamente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