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688"/>
          <w:sz w:val="48"/>
        </w:rPr>
        <w:t>INFORME MIP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Cliente Prueba SA</w:t>
            </w:r>
          </w:p>
        </w:tc>
        <w:tc>
          <w:tcPr>
            <w:tcW w:type="dxa" w:w="2160"/>
          </w:tcPr>
          <w:p>
            <w:r>
              <w:t>Mes:</w:t>
            </w:r>
          </w:p>
        </w:tc>
        <w:tc>
          <w:tcPr>
            <w:tcW w:type="dxa" w:w="2160"/>
          </w:tcPr>
          <w:p>
            <w:r>
              <w:t>Febrero</w:t>
            </w:r>
          </w:p>
        </w:tc>
      </w:tr>
      <w:tr>
        <w:tc>
          <w:tcPr>
            <w:tcW w:type="dxa" w:w="2160"/>
          </w:tcPr>
          <w:p>
            <w:r>
              <w:t>Sucursal:</w:t>
            </w:r>
          </w:p>
        </w:tc>
        <w:tc>
          <w:tcPr>
            <w:tcW w:type="dxa" w:w="2160"/>
          </w:tcPr>
          <w:p>
            <w:r>
              <w:t>Planta Test 1</w:t>
            </w:r>
          </w:p>
        </w:tc>
        <w:tc>
          <w:tcPr>
            <w:tcW w:type="dxa" w:w="2160"/>
          </w:tcPr>
          <w:p>
            <w:r>
              <w:t>Año: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</w:tr>
    </w:tbl>
    <w:p/>
    <w:p>
      <w:pPr>
        <w:pStyle w:val="Heading1"/>
      </w:pPr>
      <w:r>
        <w:rPr>
          <w:color w:val="009688"/>
        </w:rPr>
        <w:t>Control de Roedores</w:t>
      </w:r>
    </w:p>
    <w:p>
      <w:r>
        <w:t>Estaciones Perímetro Externo: 10</w:t>
      </w:r>
    </w:p>
    <w:p>
      <w:r>
        <w:t>Estaciones Perímetro Interno: 5</w:t>
      </w:r>
    </w:p>
    <w:p>
      <w:pPr>
        <w:pStyle w:val="Heading2"/>
      </w:pPr>
      <w:r>
        <w:rPr>
          <w:color w:val="009688"/>
        </w:rPr>
        <w:t>Desvíos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</w:tbl>
    <w:p/>
    <w:p>
      <w:pPr>
        <w:pStyle w:val="Heading2"/>
      </w:pPr>
      <w:r>
        <w:rPr>
          <w:color w:val="009688"/>
        </w:rPr>
        <w:t>Estaciones con Desvíos (Top Consumo)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Cebadera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Sector</w:t>
            </w:r>
          </w:p>
        </w:tc>
        <w:tc>
          <w:tcPr>
            <w:tcW w:type="dxa" w:w="2160"/>
          </w:tcPr>
          <w:p>
            <w:r>
              <w:t>Consumo (gr)</w:t>
            </w:r>
          </w:p>
        </w:tc>
      </w:tr>
      <w:tr>
        <w:tc>
          <w:tcPr>
            <w:tcW w:type="dxa" w:w="2160"/>
          </w:tcPr>
          <w:p>
            <w:r>
              <w:t>C01</w:t>
            </w:r>
          </w:p>
        </w:tc>
        <w:tc>
          <w:tcPr>
            <w:tcW w:type="dxa" w:w="2160"/>
          </w:tcPr>
          <w:p>
            <w:r>
              <w:t>Cebo</w:t>
            </w:r>
          </w:p>
        </w:tc>
        <w:tc>
          <w:tcPr>
            <w:tcW w:type="dxa" w:w="2160"/>
          </w:tcPr>
          <w:p>
            <w:r>
              <w:t>Exterior</w:t>
            </w:r>
          </w:p>
        </w:tc>
        <w:tc>
          <w:tcPr>
            <w:tcW w:type="dxa" w:w="2160"/>
          </w:tcPr>
          <w:p>
            <w:r>
              <w:t>5.55</w:t>
            </w:r>
          </w:p>
        </w:tc>
      </w:tr>
      <w:tr>
        <w:tc>
          <w:tcPr>
            <w:tcW w:type="dxa" w:w="2160"/>
          </w:tcPr>
          <w:p>
            <w:r>
              <w:t>C02</w:t>
            </w:r>
          </w:p>
        </w:tc>
        <w:tc>
          <w:tcPr>
            <w:tcW w:type="dxa" w:w="2160"/>
          </w:tcPr>
          <w:p>
            <w:r>
              <w:t>Cebo</w:t>
            </w:r>
          </w:p>
        </w:tc>
        <w:tc>
          <w:tcPr>
            <w:tcW w:type="dxa" w:w="2160"/>
          </w:tcPr>
          <w:p>
            <w:r>
              <w:t>Interior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C03</w:t>
            </w:r>
          </w:p>
        </w:tc>
        <w:tc>
          <w:tcPr>
            <w:tcW w:type="dxa" w:w="2160"/>
          </w:tcPr>
          <w:p>
            <w:r>
              <w:t>Cebo</w:t>
            </w:r>
          </w:p>
        </w:tc>
        <w:tc>
          <w:tcPr>
            <w:tcW w:type="dxa" w:w="2160"/>
          </w:tcPr>
          <w:p>
            <w:r>
              <w:t>Depósito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Roedores</w:t>
      </w:r>
    </w:p>
    <w:p>
      <w:r>
        <w:t>Se observó actividad leve.</w:t>
      </w:r>
    </w:p>
    <w:p>
      <w:r>
        <w:br w:type="page"/>
      </w:r>
    </w:p>
    <w:p>
      <w:pPr>
        <w:pStyle w:val="Heading1"/>
      </w:pPr>
      <w:r>
        <w:rPr>
          <w:color w:val="009688"/>
        </w:rPr>
        <w:t>Control de Voladores</w:t>
      </w:r>
    </w:p>
    <w:p>
      <w:pPr>
        <w:pStyle w:val="Heading2"/>
      </w:pPr>
      <w:r>
        <w:rPr>
          <w:color w:val="009688"/>
        </w:rPr>
        <w:t>Observaciones del 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Observaciones</w:t>
            </w:r>
          </w:p>
        </w:tc>
      </w:tr>
    </w:tbl>
    <w:p>
      <w:pPr>
        <w:pStyle w:val="Heading2"/>
      </w:pPr>
      <w:r>
        <w:rPr>
          <w:color w:val="009688"/>
        </w:rPr>
        <w:t>Resumen de Tratamiento - Voladores</w:t>
      </w:r>
    </w:p>
    <w:p>
      <w:r>
        <w:t>Sin novedades.</w:t>
      </w:r>
    </w:p>
    <w:p>
      <w:pPr>
        <w:pStyle w:val="Heading1"/>
      </w:pPr>
      <w:r>
        <w:rPr>
          <w:color w:val="009688"/>
        </w:rPr>
        <w:t>Control de Rastreros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Producto</w:t>
            </w:r>
          </w:p>
        </w:tc>
        <w:tc>
          <w:tcPr>
            <w:tcW w:type="dxa" w:w="1440"/>
          </w:tcPr>
          <w:p>
            <w:r>
              <w:t>P. Activo</w:t>
            </w:r>
          </w:p>
        </w:tc>
        <w:tc>
          <w:tcPr>
            <w:tcW w:type="dxa" w:w="1440"/>
          </w:tcPr>
          <w:p>
            <w:r>
              <w:t>Dosis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Sectores</w:t>
            </w:r>
          </w:p>
        </w:tc>
      </w:tr>
      <w:tr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Gel Cucarachicida</w:t>
            </w:r>
          </w:p>
        </w:tc>
        <w:tc>
          <w:tcPr>
            <w:tcW w:type="dxa" w:w="1440"/>
          </w:tcPr>
          <w:p>
            <w:r>
              <w:t>Imidacloprid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Cocina</w:t>
            </w:r>
          </w:p>
        </w:tc>
      </w:tr>
    </w:tbl>
    <w:p>
      <w:pPr>
        <w:pStyle w:val="Heading1"/>
      </w:pPr>
      <w:r>
        <w:rPr>
          <w:color w:val="009688"/>
        </w:rPr>
        <w:t>Conclusión General</w:t>
      </w:r>
    </w:p>
    <w:p>
      <w:pPr>
        <w:jc w:val="both"/>
      </w:pPr>
      <w:r>
        <w:t>Situación controlada.</w:t>
      </w:r>
    </w:p>
    <w:p/>
    <w:p>
      <w:pPr>
        <w:jc w:val="right"/>
      </w:pPr>
      <w:r>
        <w:t>Sanitas Ambiental - Reporte Generado Automáticamente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