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HERMESSON FERNANDES DE OLIVEIRA</w:t>
      </w:r>
      <w:r>
        <w:t xml:space="preserve">, inscrito na OAB/MG sob o nº 231.745, outorgando-lhe os poderes contidos na cláusula "ad judicia",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