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JULIANA MARIA DE PAULA</w:t>
      </w:r>
      <w:r>
        <w:rPr>
          <w:lang w:val="pt-PT"/>
        </w:rPr>
        <w:t xml:space="preserve">, </w:t>
      </w:r>
      <w:r w:rsidR="007835E7">
        <w:rPr>
          <w:lang w:val="pt-PT"/>
        </w:rPr>
        <w:t>OAB/MG 237399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98299-7498, neste ato denominada simplesmente como CONTRATADA.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da CONTRATADA; (iii) seja cassada a procuração; ou (iv) a ação não prossiga por motivos pessoais do CONTRATANTE ou alheios à vontade da CONTRATADA,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deverá ocorrer com a participação da CONTRATADA, ficando vedada ao CONTRATANTE a celebração de acordos diretamente. Em caso de descumprimento, aplica-se o disposto no Parágrafo 1º da Cláusula Terceira.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exigíveis os honorários pactuados caso: (i) o cliente seja vencedor da ação; (ii) seja efetuado acordo com a parte contrária com ou sem o concurso da CONTRATADA; (iii) o CONTRATANTE ceda ou transfira o contrato de consórcio objeto da ação; (iv) ocorra a contemplação via sorteio do consórcio objeto da ação.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it-IT"/>
        </w:rPr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