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Benchmark Document for DOCX Extraction</w:t>
      </w:r>
    </w:p>
    <w:p>
      <w:pPr>
        <w:jc w:val="center"/>
      </w:pPr>
      <w:r>
        <w:t>A synthetic test document with headers, tables, formulas, and formatting</w:t>
      </w:r>
    </w:p>
    <w:p>
      <w:pPr>
        <w:pStyle w:val="Heading1"/>
      </w:pPr>
      <w:r>
        <w:t>1. Introduction</w:t>
      </w:r>
    </w:p>
    <w:p>
      <w:r>
        <w:t>This document is designed to test DOCX extraction engines. It contains various elements commonly found in technical documents: headings at multiple levels, paragraphs of text, data tables, mathematical formulas, and formatted text. The goal is to evaluate how well each extraction engine preserves the structure and content of the original document.</w:t>
      </w:r>
    </w:p>
    <w:p>
      <w:pPr>
        <w:pStyle w:val="Heading1"/>
      </w:pPr>
      <w:r>
        <w:t>2. Mathematical Formulas</w:t>
      </w:r>
    </w:p>
    <w:p>
      <w:r>
        <w:t>This section contains mathematical formulas represented as text:</w:t>
      </w:r>
    </w:p>
    <w:p>
      <w:pPr>
        <w:pStyle w:val="Heading2"/>
      </w:pPr>
      <w:r>
        <w:t>2.1 Famous Equations</w:t>
      </w:r>
    </w:p>
    <w:p>
      <w:pPr>
        <w:pStyle w:val="ListBullet"/>
      </w:pPr>
      <w:r>
        <w:rPr>
          <w:b/>
        </w:rPr>
        <w:t xml:space="preserve">Einstein's mass-energy equivalence: </w:t>
      </w:r>
      <w:r>
        <w:rPr>
          <w:i/>
        </w:rPr>
        <w:t>E = mc²</w:t>
      </w:r>
    </w:p>
    <w:p>
      <w:pPr>
        <w:pStyle w:val="ListBullet"/>
      </w:pPr>
      <w:r>
        <w:rPr>
          <w:b/>
        </w:rPr>
        <w:t xml:space="preserve">Euler's identity: </w:t>
      </w:r>
      <w:r>
        <w:rPr>
          <w:i/>
        </w:rPr>
        <w:t>e^(i*π) + 1 = 0</w:t>
      </w:r>
    </w:p>
    <w:p>
      <w:pPr>
        <w:pStyle w:val="ListBullet"/>
      </w:pPr>
      <w:r>
        <w:rPr>
          <w:b/>
        </w:rPr>
        <w:t xml:space="preserve">Pythagorean theorem: </w:t>
      </w:r>
      <w:r>
        <w:rPr>
          <w:i/>
        </w:rPr>
        <w:t>a² + b² = c²</w:t>
      </w:r>
    </w:p>
    <w:p>
      <w:pPr>
        <w:pStyle w:val="ListBullet"/>
      </w:pPr>
      <w:r>
        <w:rPr>
          <w:b/>
        </w:rPr>
        <w:t xml:space="preserve">Quadratic formula: </w:t>
      </w:r>
      <w:r>
        <w:rPr>
          <w:i/>
        </w:rPr>
        <w:t>x = (-b ± √(b² - 4ac)) / 2a</w:t>
      </w:r>
    </w:p>
    <w:p>
      <w:pPr>
        <w:pStyle w:val="Heading2"/>
      </w:pPr>
      <w:r>
        <w:t>2.2 Block Formula</w:t>
      </w:r>
    </w:p>
    <w:p>
      <w:r>
        <w:t>The Schrödinger equation in Dirac notation:</w:t>
      </w:r>
    </w:p>
    <w:p>
      <w:pPr>
        <w:jc w:val="center"/>
      </w:pPr>
      <w:r>
        <w:rPr>
          <w:i/>
        </w:rPr>
        <w:t>iℏ ∂/∂t |ψ(t)⟩ = H |ψ(t)⟩</w:t>
      </w:r>
    </w:p>
    <w:p>
      <w:pPr>
        <w:pStyle w:val="Heading1"/>
      </w:pPr>
      <w:r>
        <w:t>3. Data Table</w:t>
      </w:r>
    </w:p>
    <w:p>
      <w:r>
        <w:t>The following table presents benchmark results for various algorithms: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Time (ms)</w:t>
            </w:r>
          </w:p>
        </w:tc>
        <w:tc>
          <w:tcPr>
            <w:tcW w:type="dxa" w:w="2160"/>
          </w:tcPr>
          <w:p>
            <w:r>
              <w:rPr>
                <w:b/>
              </w:rPr>
              <w:t>Memory (MB)</w:t>
            </w:r>
          </w:p>
        </w:tc>
        <w:tc>
          <w:tcPr>
            <w:tcW w:type="dxa" w:w="2160"/>
          </w:tcPr>
          <w:p>
            <w:r>
              <w:rPr>
                <w:b/>
              </w:rPr>
              <w:t>Accuracy (%)</w:t>
            </w:r>
          </w:p>
        </w:tc>
      </w:tr>
      <w:tr>
        <w:tc>
          <w:tcPr>
            <w:tcW w:type="dxa" w:w="2160"/>
          </w:tcPr>
          <w:p>
            <w:r>
              <w:t>Quick Sort</w:t>
            </w:r>
          </w:p>
        </w:tc>
        <w:tc>
          <w:tcPr>
            <w:tcW w:type="dxa" w:w="2160"/>
          </w:tcPr>
          <w:p>
            <w:r>
              <w:t>45.2</w:t>
            </w:r>
          </w:p>
        </w:tc>
        <w:tc>
          <w:tcPr>
            <w:tcW w:type="dxa" w:w="2160"/>
          </w:tcPr>
          <w:p>
            <w:r>
              <w:t>12.4</w:t>
            </w:r>
          </w:p>
        </w:tc>
        <w:tc>
          <w:tcPr>
            <w:tcW w:type="dxa" w:w="2160"/>
          </w:tcPr>
          <w:p>
            <w:r>
              <w:t>100.0</w:t>
            </w:r>
          </w:p>
        </w:tc>
      </w:tr>
      <w:tr>
        <w:tc>
          <w:tcPr>
            <w:tcW w:type="dxa" w:w="2160"/>
          </w:tcPr>
          <w:p>
            <w:r>
              <w:t>Merge Sort</w:t>
            </w:r>
          </w:p>
        </w:tc>
        <w:tc>
          <w:tcPr>
            <w:tcW w:type="dxa" w:w="2160"/>
          </w:tcPr>
          <w:p>
            <w:r>
              <w:t>52.1</w:t>
            </w:r>
          </w:p>
        </w:tc>
        <w:tc>
          <w:tcPr>
            <w:tcW w:type="dxa" w:w="2160"/>
          </w:tcPr>
          <w:p>
            <w:r>
              <w:t>24.8</w:t>
            </w:r>
          </w:p>
        </w:tc>
        <w:tc>
          <w:tcPr>
            <w:tcW w:type="dxa" w:w="2160"/>
          </w:tcPr>
          <w:p>
            <w:r>
              <w:t>100.0</w:t>
            </w:r>
          </w:p>
        </w:tc>
      </w:tr>
      <w:tr>
        <w:tc>
          <w:tcPr>
            <w:tcW w:type="dxa" w:w="2160"/>
          </w:tcPr>
          <w:p>
            <w:r>
              <w:t>Bubble Sort</w:t>
            </w:r>
          </w:p>
        </w:tc>
        <w:tc>
          <w:tcPr>
            <w:tcW w:type="dxa" w:w="2160"/>
          </w:tcPr>
          <w:p>
            <w:r>
              <w:t>156.3</w:t>
            </w:r>
          </w:p>
        </w:tc>
        <w:tc>
          <w:tcPr>
            <w:tcW w:type="dxa" w:w="2160"/>
          </w:tcPr>
          <w:p>
            <w:r>
              <w:t>8.2</w:t>
            </w:r>
          </w:p>
        </w:tc>
        <w:tc>
          <w:tcPr>
            <w:tcW w:type="dxa" w:w="2160"/>
          </w:tcPr>
          <w:p>
            <w:r>
              <w:t>100.0</w:t>
            </w:r>
          </w:p>
        </w:tc>
      </w:tr>
      <w:tr>
        <w:tc>
          <w:tcPr>
            <w:tcW w:type="dxa" w:w="2160"/>
          </w:tcPr>
          <w:p>
            <w:r>
              <w:t>Neural Net</w:t>
            </w:r>
          </w:p>
        </w:tc>
        <w:tc>
          <w:tcPr>
            <w:tcW w:type="dxa" w:w="2160"/>
          </w:tcPr>
          <w:p>
            <w:r>
              <w:t>234.5</w:t>
            </w:r>
          </w:p>
        </w:tc>
        <w:tc>
          <w:tcPr>
            <w:tcW w:type="dxa" w:w="2160"/>
          </w:tcPr>
          <w:p>
            <w:r>
              <w:t>156.2</w:t>
            </w:r>
          </w:p>
        </w:tc>
        <w:tc>
          <w:tcPr>
            <w:tcW w:type="dxa" w:w="2160"/>
          </w:tcPr>
          <w:p>
            <w:r>
              <w:t>98.7</w:t>
            </w:r>
          </w:p>
        </w:tc>
      </w:tr>
    </w:tbl>
    <w:p>
      <w:pPr>
        <w:pStyle w:val="Heading1"/>
      </w:pPr>
      <w:r>
        <w:t>4. Formatted Text</w:t>
      </w:r>
    </w:p>
    <w:p>
      <w:r>
        <w:t xml:space="preserve">This section demonstrates various text formatting options: </w:t>
      </w:r>
      <w:r>
        <w:rPr>
          <w:b/>
        </w:rPr>
        <w:t>bold text</w:t>
      </w:r>
      <w:r>
        <w:t xml:space="preserve">, </w:t>
      </w:r>
      <w:r>
        <w:rPr>
          <w:i/>
        </w:rPr>
        <w:t>italic text</w:t>
      </w:r>
      <w:r>
        <w:t xml:space="preserve">, </w:t>
      </w:r>
      <w:r>
        <w:rPr>
          <w:b/>
          <w:i/>
        </w:rPr>
        <w:t>bold and italic</w:t>
      </w:r>
      <w:r>
        <w:t xml:space="preserve">, and </w:t>
      </w:r>
      <w:r>
        <w:rPr>
          <w:u w:val="single"/>
        </w:rPr>
        <w:t>underlined text</w:t>
      </w:r>
      <w:r>
        <w:t>.</w:t>
      </w:r>
    </w:p>
    <w:p>
      <w:r>
        <w:t>Here is a numbered list:</w:t>
      </w:r>
    </w:p>
    <w:p>
      <w:pPr>
        <w:pStyle w:val="ListNumber"/>
      </w:pPr>
      <w:r>
        <w:t>First item</w:t>
      </w:r>
    </w:p>
    <w:p>
      <w:pPr>
        <w:pStyle w:val="ListNumber"/>
      </w:pPr>
      <w:r>
        <w:t>Second item</w:t>
      </w:r>
    </w:p>
    <w:p>
      <w:pPr>
        <w:pStyle w:val="ListNumber"/>
      </w:pPr>
      <w:r>
        <w:t>Third item</w:t>
      </w:r>
    </w:p>
    <w:p>
      <w:r>
        <w:t>And a bullet list:</w:t>
      </w:r>
    </w:p>
    <w:p>
      <w:pPr>
        <w:pStyle w:val="ListBullet"/>
      </w:pPr>
      <w:r>
        <w:t>Apple</w:t>
      </w:r>
    </w:p>
    <w:p>
      <w:pPr>
        <w:pStyle w:val="ListBullet"/>
      </w:pPr>
      <w:r>
        <w:t>Banana</w:t>
      </w:r>
    </w:p>
    <w:p>
      <w:pPr>
        <w:pStyle w:val="ListBullet"/>
      </w:pPr>
      <w:r>
        <w:t>Cherry</w:t>
      </w:r>
    </w:p>
    <w:p>
      <w:pPr>
        <w:pStyle w:val="Heading1"/>
      </w:pPr>
      <w:r>
        <w:t>5. Figure Reference</w:t>
      </w:r>
    </w:p>
    <w:p>
      <w:r>
        <w:t>Figure 1 shows the relationship between sin(x) and cos(x) functions. The graph demonstrates the periodic nature of trigonometric functions.</w:t>
      </w:r>
    </w:p>
    <w:p>
      <w:pPr>
        <w:jc w:val="center"/>
      </w:pPr>
      <w:r>
        <w:rPr>
          <w:i/>
        </w:rPr>
        <w:t>Figure 1: Trigonometric Functions sin(x) and cos(x)</w:t>
      </w:r>
    </w:p>
    <w:p>
      <w:pPr>
        <w:pStyle w:val="Heading1"/>
      </w:pPr>
      <w:r>
        <w:t>6. Conclusion</w:t>
      </w:r>
    </w:p>
    <w:p>
      <w:r>
        <w:t>This benchmark document contains a variety of elements that test the capabilities of document extraction engines. A high-quality extraction should preserve:</w:t>
      </w:r>
    </w:p>
    <w:p>
      <w:pPr>
        <w:pStyle w:val="ListBullet"/>
      </w:pPr>
      <w:r>
        <w:t>Document structure (headings, sections)</w:t>
      </w:r>
    </w:p>
    <w:p>
      <w:pPr>
        <w:pStyle w:val="ListBullet"/>
      </w:pPr>
      <w:r>
        <w:t>Table data and formatting</w:t>
      </w:r>
    </w:p>
    <w:p>
      <w:pPr>
        <w:pStyle w:val="ListBullet"/>
      </w:pPr>
      <w:r>
        <w:t>Mathematical formulas</w:t>
      </w:r>
    </w:p>
    <w:p>
      <w:pPr>
        <w:pStyle w:val="ListBullet"/>
      </w:pPr>
      <w:r>
        <w:t>Text formatting (bold, italic, underline)</w:t>
      </w:r>
    </w:p>
    <w:p>
      <w:pPr>
        <w:pStyle w:val="ListBullet"/>
      </w:pPr>
      <w:r>
        <w:t>Lists (numbered and bulleted)</w:t>
      </w:r>
    </w:p>
    <w:p>
      <w:pPr>
        <w:pStyle w:val="Heading1"/>
      </w:pPr>
      <w:r>
        <w:t>7. References</w:t>
      </w:r>
    </w:p>
    <w:p>
      <w:r>
        <w:t>[1] Einstein, A. (1905). "On the Electrodynamics of Moving Bodies"</w:t>
      </w:r>
    </w:p>
    <w:p>
      <w:r>
        <w:t>[2] Euler, L. (1748). "Introductio in analysin infinitorum"</w:t>
      </w:r>
    </w:p>
    <w:p>
      <w:r>
        <w:t>[3] Pythagoras (c. 570–495 BC). "Pythagorean theorem"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