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C18CE8" w14:textId="05C13AEB" w:rsidR="00B6289A" w:rsidRDefault="00B6289A" w:rsidP="00B6289A">
      <w:pPr>
        <w:jc w:val="center"/>
      </w:pPr>
      <w:r>
        <w:t xml:space="preserve"> </w:t>
      </w:r>
    </w:p>
    <w:p w14:paraId="55476810" w14:textId="77777777" w:rsidR="00B6289A" w:rsidRDefault="00B6289A" w:rsidP="00B6289A"/>
    <w:p w14:paraId="2F70081A" w14:textId="77777777" w:rsidR="00B6289A" w:rsidRDefault="00B6289A" w:rsidP="00B6289A">
      <w:r>
        <w:t>Leonard Foy</w:t>
      </w:r>
    </w:p>
    <w:p w14:paraId="77F3A290" w14:textId="77777777" w:rsidR="00B6289A" w:rsidRDefault="00B6289A" w:rsidP="00B6289A">
      <w:r>
        <w:t>IDS 405</w:t>
      </w:r>
    </w:p>
    <w:p w14:paraId="58B05556" w14:textId="77777777" w:rsidR="00B6289A" w:rsidRDefault="00B6289A" w:rsidP="00B6289A">
      <w:r>
        <w:t>October 18, 2026</w:t>
      </w:r>
    </w:p>
    <w:p w14:paraId="7FC6BB26" w14:textId="77777777" w:rsidR="00B6289A" w:rsidRDefault="00B6289A" w:rsidP="00B6289A"/>
    <w:p w14:paraId="0606AB20" w14:textId="77777777" w:rsidR="00B6289A" w:rsidRDefault="00B6289A" w:rsidP="00B6289A">
      <w:r>
        <w:t>Part One Investigation</w:t>
      </w:r>
    </w:p>
    <w:p w14:paraId="48DFA9F0" w14:textId="77777777" w:rsidR="00B6289A" w:rsidRDefault="00B6289A" w:rsidP="00B6289A"/>
    <w:p w14:paraId="478748AF" w14:textId="77777777" w:rsidR="00B6289A" w:rsidRDefault="00B6289A" w:rsidP="00B6289A">
      <w:r>
        <w:t>Movement History and Purpose</w:t>
      </w:r>
    </w:p>
    <w:p w14:paraId="2BFC3C04" w14:textId="77777777" w:rsidR="00B6289A" w:rsidRDefault="00B6289A" w:rsidP="00B6289A"/>
    <w:p w14:paraId="06972226" w14:textId="77777777" w:rsidR="00B6289A" w:rsidRDefault="00B6289A" w:rsidP="00B6289A">
      <w:r>
        <w:t>Every person deserves to travel safely and receive equal treatment, regardless of race. My advocacy action plan examines the American Civil Rights Movement and the Congress of Racial Equality (CORE), particularly the 1961 Freedom Rides. I support combining community education with documented complaints, legal assistance, and nonviolent pressure for enforcement. The central lesson is that recognizing a right does not automatically make that right available in everyday life.</w:t>
      </w:r>
    </w:p>
    <w:p w14:paraId="6F05C439" w14:textId="77777777" w:rsidR="00B6289A" w:rsidRDefault="00B6289A" w:rsidP="00B6289A"/>
    <w:p w14:paraId="4B45B64B" w14:textId="77777777" w:rsidR="00B6289A" w:rsidRDefault="00B6289A" w:rsidP="00B6289A">
      <w:r>
        <w:t xml:space="preserve">CORE began in 1942 and developed an approach based on interracial cooperation and nonviolent direct action. Meier and </w:t>
      </w:r>
      <w:proofErr w:type="spellStart"/>
      <w:r>
        <w:t>Rudwick</w:t>
      </w:r>
      <w:proofErr w:type="spellEnd"/>
      <w:r>
        <w:t xml:space="preserve"> (1973) examine its development and changing strategies across several decades. The Freedom Rides fit that longer organizational history. Their goal required changes in institutional behavior as well as public attitudes.</w:t>
      </w:r>
    </w:p>
    <w:p w14:paraId="4C6F3130" w14:textId="77777777" w:rsidR="00B6289A" w:rsidRDefault="00B6289A" w:rsidP="00B6289A"/>
    <w:p w14:paraId="60BEE563" w14:textId="77777777" w:rsidR="00B6289A" w:rsidRDefault="00B6289A" w:rsidP="00B6289A">
      <w:r>
        <w:t xml:space="preserve">This plan distinguishes the historical campaign from my proposed actions today. Its historical focus is Black travelers in the South, particularly Alabama and Mississippi. Its present application is a proposed community transportation access initiative informed by CORE’s methods. I do not assume that a particular local provider currently discriminates. </w:t>
      </w:r>
    </w:p>
    <w:p w14:paraId="1672F6D6" w14:textId="77777777" w:rsidR="00B6289A" w:rsidRDefault="00B6289A" w:rsidP="00B6289A"/>
    <w:p w14:paraId="53742A7C" w14:textId="77777777" w:rsidR="00B6289A" w:rsidRDefault="00B6289A" w:rsidP="00B6289A">
      <w:r>
        <w:t>Historical Foundations and Citizen Participation</w:t>
      </w:r>
    </w:p>
    <w:p w14:paraId="2A8EC079" w14:textId="77777777" w:rsidR="00B6289A" w:rsidRDefault="00B6289A" w:rsidP="00B6289A"/>
    <w:p w14:paraId="417AAB3D" w14:textId="77777777" w:rsidR="00B6289A" w:rsidRDefault="00B6289A" w:rsidP="00B6289A">
      <w:r>
        <w:lastRenderedPageBreak/>
        <w:t>The Freedom Rides grew from earlier legal challenges. In Morgan v. Virginia, the Supreme Court rejected Virginia’s segregation requirement for interstate bus passengers. The decision rested on interstate commerce, an important distinction from a broad ruling that eliminated all segregation. The National Archives and Records Administration (2021) explains that continued resistance helped inspire the 1947 Journey of Reconciliation. In Boynton v. Virginia, the Court addressed discrimination in facilities serving interstate travelers under the Interstate Commerce Act. These victories established protections that were still inconsistently enforced.</w:t>
      </w:r>
    </w:p>
    <w:p w14:paraId="1A080F5D" w14:textId="77777777" w:rsidR="00B6289A" w:rsidRDefault="00B6289A" w:rsidP="00B6289A"/>
    <w:p w14:paraId="42423236" w14:textId="77777777" w:rsidR="00B6289A" w:rsidRDefault="00B6289A" w:rsidP="00B6289A">
      <w:r>
        <w:t>On May 4, 1961, an interracial group of thirteen riders departed Washington, D.C., under CORE’s leadership. Arsenault (2011) examines this campaign. Their journey tested whether transportation businesses and public authorities would honor those protections (Library of Congress, n.d.-a). The riders’ deliberate use of segregated facilities made an abstract enforcement problem visible through ordinary activities such as waiting for a bus or purchasing food.</w:t>
      </w:r>
    </w:p>
    <w:p w14:paraId="008D09C7" w14:textId="77777777" w:rsidR="00B6289A" w:rsidRDefault="00B6289A" w:rsidP="00B6289A"/>
    <w:p w14:paraId="3DBCC7B2" w14:textId="77777777" w:rsidR="00B6289A" w:rsidRDefault="00B6289A" w:rsidP="00B6289A">
      <w:r>
        <w:t>Active citizenship includes exercising freedom of speech, peaceful assembly, and petition. The First Amendment protects these activities, although it does not make every action in every location unrestricted (National Archives and Records Administration, n.d.). Citizens also have civic responsibilities to investigate claims, respect others’ rights, and hold public institutions accountable. Voting is an important form of participation, but advocacy is not limited to eligible voters. Students and other community members can participate through education, volunteering, and public discussion. CORE demonstrates how people can coordinate these individual choices into collective demands for equal treatment.</w:t>
      </w:r>
    </w:p>
    <w:p w14:paraId="0E45DE8C" w14:textId="77777777" w:rsidR="00B6289A" w:rsidRDefault="00B6289A" w:rsidP="00B6289A"/>
    <w:p w14:paraId="29774880" w14:textId="77777777" w:rsidR="00B6289A" w:rsidRDefault="00B6289A" w:rsidP="00B6289A">
      <w:r>
        <w:t>Implications of Action and Social Conditions</w:t>
      </w:r>
    </w:p>
    <w:p w14:paraId="60250D59" w14:textId="77777777" w:rsidR="00B6289A" w:rsidRDefault="00B6289A" w:rsidP="00B6289A"/>
    <w:p w14:paraId="087DE7AD" w14:textId="77777777" w:rsidR="00B6289A" w:rsidRDefault="00B6289A" w:rsidP="00B6289A">
      <w:r>
        <w:t xml:space="preserve">Before </w:t>
      </w:r>
      <w:proofErr w:type="gramStart"/>
      <w:r>
        <w:t>taking action</w:t>
      </w:r>
      <w:proofErr w:type="gramEnd"/>
      <w:r>
        <w:t>, citizens should consider the purpose of a campaign, the likely response, and the risks borne by participants and bystanders. In 1961, the dangers included physical assault and arrest. The Freedom Riders faced attacks in Alabama, and activists continued the campaign despite intimidation. The Stanford King Institute describes the violence and pressure for federal intervention (The Martin Luther King, Jr. Research and Education Institute, n.d.). Nonviolent conduct did not guarantee safety. Responsibility for attacks remained with those who committed or enabled them.</w:t>
      </w:r>
    </w:p>
    <w:p w14:paraId="612D913E" w14:textId="77777777" w:rsidR="00B6289A" w:rsidRDefault="00B6289A" w:rsidP="00B6289A"/>
    <w:p w14:paraId="2C29D69C" w14:textId="77777777" w:rsidR="00B6289A" w:rsidRDefault="00B6289A" w:rsidP="00B6289A">
      <w:r>
        <w:t>The campaign produced an identifiable enforcement outcome. Following sustained pressure, the Interstate Commerce Commission required interstate carriers and their terminals to integrate by November 1, 1961 (National Park Service, 2025b). It does not establish that racism disappeared or that every affected traveler immediately received fair treatment. Success should therefore be evaluated through both formal decisions and evidence of everyday compliance.</w:t>
      </w:r>
    </w:p>
    <w:p w14:paraId="5C1AE567" w14:textId="77777777" w:rsidR="00B6289A" w:rsidRDefault="00B6289A" w:rsidP="00B6289A"/>
    <w:p w14:paraId="0EDF8C3E" w14:textId="77777777" w:rsidR="00B6289A" w:rsidRDefault="00B6289A" w:rsidP="00B6289A">
      <w:r>
        <w:t>Social conditions also determine who can participate. Fear of retaliation can make reporting discrimination dangerous. Under segregation, unequal political power and hostile local authorities restricted the practical value of formal rights. My analysis is that civic freedom depends partly on whether people have the resources and protection to exercise it. A community initiative should therefore offer accessible meeting times, transportation assistance when feasible, and confidential ways to raise concerns. Participation should not require everyone to accept the same exposure to danger.</w:t>
      </w:r>
    </w:p>
    <w:p w14:paraId="3113E89D" w14:textId="77777777" w:rsidR="00B6289A" w:rsidRDefault="00B6289A" w:rsidP="00B6289A"/>
    <w:p w14:paraId="63CF8A74" w14:textId="77777777" w:rsidR="00B6289A" w:rsidRDefault="00B6289A" w:rsidP="00B6289A">
      <w:r>
        <w:t>Research Bias and Individual Values</w:t>
      </w:r>
    </w:p>
    <w:p w14:paraId="2BFF5F8E" w14:textId="77777777" w:rsidR="00B6289A" w:rsidRDefault="00B6289A" w:rsidP="00B6289A"/>
    <w:p w14:paraId="7F019523" w14:textId="77777777" w:rsidR="00B6289A" w:rsidRDefault="00B6289A" w:rsidP="00B6289A">
      <w:r>
        <w:t>Misinformation is inaccurate information shared without necessarily intending deception; disinformation involves deliberate deception. Bias can influence both what people believe and which accounts they circulate. In researching the Freedom Rides, confirmation bias could lead me to select only evidence that celebrates the riders while ignoring disagreement over strategy or the burdens experienced by local communities. I should check dates, distinguish contemporary records from later interpretation, and compare accounts that serve different purposes.</w:t>
      </w:r>
    </w:p>
    <w:p w14:paraId="7AC355A6" w14:textId="77777777" w:rsidR="00B6289A" w:rsidRDefault="00B6289A" w:rsidP="00B6289A"/>
    <w:p w14:paraId="32B9BDC3" w14:textId="77777777" w:rsidR="00B6289A" w:rsidRDefault="00B6289A" w:rsidP="00B6289A">
      <w:r>
        <w:t xml:space="preserve">The sources in this plan offer several perspectives. Farmer’s (1961) fundraising letter shows a movement leader organizing support. The National Archives explains legal antecedents, while the Library of Congress preserves participant experiences. Patterson’s recorded press conference provides evidence of opposition rather than a neutral account of the campaign (WSB-TV, 1961). A source may be reliable evidence of what its speaker argued while remaining unreliable as a description of the people being criticized. </w:t>
      </w:r>
    </w:p>
    <w:p w14:paraId="1AB1B071" w14:textId="77777777" w:rsidR="00B6289A" w:rsidRDefault="00B6289A" w:rsidP="00B6289A"/>
    <w:p w14:paraId="2DCAA748" w14:textId="77777777" w:rsidR="00B6289A" w:rsidRDefault="00B6289A" w:rsidP="00B6289A">
      <w:r>
        <w:lastRenderedPageBreak/>
        <w:t xml:space="preserve">My values emphasize dignity and equal protection. As a Black person, I recognize that I could have faced those restrictions had I lived in that time and place. In my earlier reflection, I described sometimes feeling reluctant when asked to help an unfamiliar group at work. That experience is not comparable to segregation, but it reminds me to question my first reaction to change. Values become civic behavior when I listen, reconsider assumptions, and support fair treatment. Other people may prioritize tradition or public order. Those concerns can explain resistance without excusing discrimination. Ethical citizenship requires asking whose safety and freedom a preferred tradition </w:t>
      </w:r>
      <w:proofErr w:type="gramStart"/>
      <w:r>
        <w:t>actually protects</w:t>
      </w:r>
      <w:proofErr w:type="gramEnd"/>
      <w:r>
        <w:t>.</w:t>
      </w:r>
    </w:p>
    <w:p w14:paraId="528052E4" w14:textId="77777777" w:rsidR="00B6289A" w:rsidRDefault="00B6289A" w:rsidP="00B6289A"/>
    <w:p w14:paraId="1FF8D796" w14:textId="77777777" w:rsidR="00B6289A" w:rsidRDefault="00B6289A" w:rsidP="00B6289A">
      <w:r>
        <w:t>Part Two Effects on Change</w:t>
      </w:r>
    </w:p>
    <w:p w14:paraId="28735868" w14:textId="77777777" w:rsidR="00B6289A" w:rsidRDefault="00B6289A" w:rsidP="00B6289A"/>
    <w:p w14:paraId="6C13491F" w14:textId="77777777" w:rsidR="00B6289A" w:rsidRDefault="00B6289A" w:rsidP="00B6289A">
      <w:r>
        <w:t>Culture and Opposing Perceptions</w:t>
      </w:r>
    </w:p>
    <w:p w14:paraId="3AE92512" w14:textId="77777777" w:rsidR="00B6289A" w:rsidRDefault="00B6289A" w:rsidP="00B6289A"/>
    <w:p w14:paraId="1D3FF24B" w14:textId="77777777" w:rsidR="00B6289A" w:rsidRDefault="00B6289A" w:rsidP="00B6289A">
      <w:r>
        <w:t xml:space="preserve">Culture shapes which arrangements people regard as normal and whose concerns they consider legitimate. Black travelers could experience segregation as a daily denial of dignity, while some White residents treated separation as an accepted custom. Interracial travel challenged both the rules and the cultural expectations behind them. CORE’s methods made equality visible through people sharing spaces that segregationists wanted to keep separate. Meier and </w:t>
      </w:r>
      <w:proofErr w:type="spellStart"/>
      <w:r>
        <w:t>Rudwick’s</w:t>
      </w:r>
      <w:proofErr w:type="spellEnd"/>
      <w:r>
        <w:t xml:space="preserve"> (1973) organizational history also </w:t>
      </w:r>
      <w:proofErr w:type="gramStart"/>
      <w:r>
        <w:t>helps</w:t>
      </w:r>
      <w:proofErr w:type="gramEnd"/>
      <w:r>
        <w:t xml:space="preserve"> frame CORE as a changing institution, rather than a group whose members always agreed on every method.</w:t>
      </w:r>
    </w:p>
    <w:p w14:paraId="393ED70D" w14:textId="77777777" w:rsidR="00B6289A" w:rsidRDefault="00B6289A" w:rsidP="00B6289A"/>
    <w:p w14:paraId="3ACCE337" w14:textId="77777777" w:rsidR="00B6289A" w:rsidRDefault="00B6289A" w:rsidP="00B6289A">
      <w:r>
        <w:t xml:space="preserve">The opposition source is a May 23, 1961, press conference by Alabama Governor John Patterson. He portrayed the riders as instigators, questioned their status as interstate travelers, and urged them to leave (WSB-TV, 1961). This framing shifted attention from unequal treatment toward the supposed threat posed by protest. I reject that conclusion because hostility from an audience does not establish that a peaceful demand is illegitimate. His comments nevertheless reveal the claims an effective advocate needed to </w:t>
      </w:r>
      <w:proofErr w:type="gramStart"/>
      <w:r>
        <w:t>answer:</w:t>
      </w:r>
      <w:proofErr w:type="gramEnd"/>
      <w:r>
        <w:t xml:space="preserve"> that outsiders were causing trouble and that restoring familiar routines would solve the problem.</w:t>
      </w:r>
    </w:p>
    <w:p w14:paraId="6135987C" w14:textId="77777777" w:rsidR="00B6289A" w:rsidRDefault="00B6289A" w:rsidP="00B6289A"/>
    <w:p w14:paraId="6027AF47" w14:textId="77777777" w:rsidR="00B6289A" w:rsidRDefault="00B6289A" w:rsidP="00B6289A">
      <w:r>
        <w:lastRenderedPageBreak/>
        <w:t>Government officials also faced competing incentives. The National Park Service (2025a) explains that President Kennedy initially feared losing Southern Democratic support for other priorities. That perspective differs from both the riders’ demand for immediate protection and Patterson’s resistance. Understanding it helps explain why legal principles did not automatically produce decisive action. My proposed initiative should anticipate similar disagreements about timing, cost, and institutional responsibility without equating every disagreement with segregationist ideology. Cultural awareness requires attention to specific beliefs and power relationships rather than treating an entire region or racial group as having one opinion.</w:t>
      </w:r>
    </w:p>
    <w:p w14:paraId="6D7C15A6" w14:textId="77777777" w:rsidR="00B6289A" w:rsidRDefault="00B6289A" w:rsidP="00B6289A"/>
    <w:p w14:paraId="4C577FDC" w14:textId="77777777" w:rsidR="00B6289A" w:rsidRDefault="00B6289A" w:rsidP="00B6289A">
      <w:r>
        <w:t>Persuasion and Civil Social Discourse</w:t>
      </w:r>
    </w:p>
    <w:p w14:paraId="53D0ECD1" w14:textId="77777777" w:rsidR="00B6289A" w:rsidRDefault="00B6289A" w:rsidP="00B6289A"/>
    <w:p w14:paraId="1119FC39" w14:textId="77777777" w:rsidR="00B6289A" w:rsidRDefault="00B6289A" w:rsidP="00B6289A">
      <w:r>
        <w:t>CORE’s advocacy combined credibility, emotional appeal, and a concrete legal argument. Its claim was understandable: people traveling between states should receive the protections already recognized by federal law. The riders’ experiences showed the human consequences of noncompliance. Personal testimony gave the issue meaning, while the enforcement demand gave audiences a practical response beyond sympathy.</w:t>
      </w:r>
    </w:p>
    <w:p w14:paraId="2CEDD892" w14:textId="77777777" w:rsidR="00B6289A" w:rsidRDefault="00B6289A" w:rsidP="00B6289A"/>
    <w:p w14:paraId="3B9A25EB" w14:textId="77777777" w:rsidR="00B6289A" w:rsidRDefault="00B6289A" w:rsidP="00B6289A">
      <w:r>
        <w:t>Preparation supported this persuasion. Farmer’s April 4, 1961, letter to A. Philip Randolph requested help raising money for the Freedom Rides, showing that public action depended on resources and organizational relationships (Farmer, 1961). For my initiative, credible persuasion would similarly require a clear purpose, transparent use of donations, and realistic requests that volunteers and officials can act on.</w:t>
      </w:r>
    </w:p>
    <w:p w14:paraId="23AD69C9" w14:textId="77777777" w:rsidR="00B6289A" w:rsidRDefault="00B6289A" w:rsidP="00B6289A"/>
    <w:p w14:paraId="4EC00D73" w14:textId="77777777" w:rsidR="00B6289A" w:rsidRDefault="00B6289A" w:rsidP="00B6289A">
      <w:r>
        <w:t>Public communication can also distort a campaign. A brief headline or isolated photograph may encourage an audience to interpret protest as disorder while overlooking its cause. The Library of Congress (n.d.-b) includes journalist Moses Newson’s recollection of the terror surrounding the first ride, which adds a participant perspective to official accounts. I would use testimony only with permission and preserve its context. Community presentations should pair accounts of harm with verified evidence and explain the remedy being requested. Civil discourse requires accurate representation and opportunities for questions. It does not require affected people to accept indefinite delay or to treat a demand for racial exclusion as equally justified. Respectful disagreement can address a proposed tactic while maintaining equal treatment as the standard.</w:t>
      </w:r>
    </w:p>
    <w:p w14:paraId="38D0CEEB" w14:textId="77777777" w:rsidR="00B6289A" w:rsidRDefault="00B6289A" w:rsidP="00B6289A"/>
    <w:p w14:paraId="3D9ED48E" w14:textId="77777777" w:rsidR="00B6289A" w:rsidRDefault="00B6289A" w:rsidP="00B6289A">
      <w:r>
        <w:t>Bias Assumptions and Group Consensus</w:t>
      </w:r>
    </w:p>
    <w:p w14:paraId="114D147F" w14:textId="77777777" w:rsidR="00B6289A" w:rsidRDefault="00B6289A" w:rsidP="00B6289A"/>
    <w:p w14:paraId="5517F57F" w14:textId="77777777" w:rsidR="00B6289A" w:rsidRDefault="00B6289A" w:rsidP="00B6289A">
      <w:r>
        <w:t xml:space="preserve">Personal assumptions can damage discussion before evidence receives consideration. An opponent may presume that every demonstrator seeks attention, while a supporter may assume that every hesitant resident </w:t>
      </w:r>
      <w:proofErr w:type="gramStart"/>
      <w:r>
        <w:t>rejects</w:t>
      </w:r>
      <w:proofErr w:type="gramEnd"/>
      <w:r>
        <w:t xml:space="preserve"> equality. Either assumption discourages useful questions. In my plan, facilitators would distinguish disagreement about a factual claim from disagreement about a tactic. An allegation of discrimination should receive a fair review rather than automatic acceptance or dismissal.</w:t>
      </w:r>
    </w:p>
    <w:p w14:paraId="1331ED2B" w14:textId="77777777" w:rsidR="00B6289A" w:rsidRDefault="00B6289A" w:rsidP="00B6289A"/>
    <w:p w14:paraId="7D6450E7" w14:textId="77777777" w:rsidR="00B6289A" w:rsidRDefault="00B6289A" w:rsidP="00B6289A">
      <w:r>
        <w:t xml:space="preserve">Group consensus helps participants coordinate goals and present a clear request, but it can also silence people with less influence. CORE’s history includes changing strategies and internal disagreements (Meier &amp; </w:t>
      </w:r>
      <w:proofErr w:type="spellStart"/>
      <w:r>
        <w:t>Rudwick</w:t>
      </w:r>
      <w:proofErr w:type="spellEnd"/>
      <w:r>
        <w:t xml:space="preserve">, 1973). Agreement should therefore mean that participants understand the decision process and can raise concerns without punishment. For the proposed initiative, community members would first identify shared objectives, such as fair treatment and understandable complaint procedures. Organizers would record remaining disagreements and explain how decisions were reached. </w:t>
      </w:r>
    </w:p>
    <w:p w14:paraId="0C80964C" w14:textId="77777777" w:rsidR="00B6289A" w:rsidRDefault="00B6289A" w:rsidP="00B6289A"/>
    <w:p w14:paraId="3C129622" w14:textId="77777777" w:rsidR="00B6289A" w:rsidRDefault="00B6289A" w:rsidP="00B6289A">
      <w:r>
        <w:t>Cultural awareness matters because the personal cost of advocacy varies. Someone who fears retaliation may prefer confidential reporting, while a student or volunteer may favor public demonstrations. Communication methods affect whose views shape consensus. In-person meetings allow detailed discussion but exclude people who cannot travel or attend at a fixed time. Written surveys offer time to reflect, while online discussion may exclude people with limited access and can spread claims before they are checked. I recommend offering several ways to participate and returning a plain-language summary for correction. Anonymous feedback should inform decisions without replacing verification of specific allegations. This process would make consensus more accountable and reduce the chance that the loudest participants speak for everyone.</w:t>
      </w:r>
    </w:p>
    <w:p w14:paraId="30167CDB" w14:textId="77777777" w:rsidR="00B6289A" w:rsidRDefault="00B6289A" w:rsidP="00B6289A"/>
    <w:p w14:paraId="69C0A39D" w14:textId="77777777" w:rsidR="00B6289A" w:rsidRDefault="00B6289A" w:rsidP="00B6289A">
      <w:r>
        <w:t>Part Three Advocacy</w:t>
      </w:r>
    </w:p>
    <w:p w14:paraId="1E51B7DF" w14:textId="77777777" w:rsidR="00B6289A" w:rsidRDefault="00B6289A" w:rsidP="00B6289A"/>
    <w:p w14:paraId="4007A6D3" w14:textId="77777777" w:rsidR="00B6289A" w:rsidRDefault="00B6289A" w:rsidP="00B6289A">
      <w:r>
        <w:t>Recommended Community Actions</w:t>
      </w:r>
    </w:p>
    <w:p w14:paraId="0097CB11" w14:textId="77777777" w:rsidR="00B6289A" w:rsidRDefault="00B6289A" w:rsidP="00B6289A"/>
    <w:p w14:paraId="5A55F98E" w14:textId="77777777" w:rsidR="00B6289A" w:rsidRDefault="00B6289A" w:rsidP="00B6289A">
      <w:r>
        <w:t xml:space="preserve">I recommend a six-month pilot focused on equitable treatment in community transportation services. This is a proposed adaptation of CORE’s historical methods, not a claim that CORE currently sponsors the project. During the first month, I would help organize a listening meeting with riders, transportation representatives, and a local civil rights or legal assistance partner. Participants would define the specific concern, review available evidence, and choose a small steering group that includes people directly affected. </w:t>
      </w:r>
    </w:p>
    <w:p w14:paraId="2F53A723" w14:textId="77777777" w:rsidR="00B6289A" w:rsidRDefault="00B6289A" w:rsidP="00B6289A"/>
    <w:p w14:paraId="373FB3E5" w14:textId="77777777" w:rsidR="00B6289A" w:rsidRDefault="00B6289A" w:rsidP="00B6289A">
      <w:r>
        <w:t>During months two and three, volunteers would offer two educational sessions explaining how to recognize unequal treatment and find the appropriate complaint process. Materials would distinguish historical events from current procedures and receive review from a qualified partner before distribution. A designated intake coordinator would accept reports with consent, record what occurred, and preserve relevant documents securely. CORE’s fundraising and coordination illustrate why these support roles matter alongside public-facing action (Farmer, 1961).</w:t>
      </w:r>
    </w:p>
    <w:p w14:paraId="21E52B4A" w14:textId="77777777" w:rsidR="00B6289A" w:rsidRDefault="00B6289A" w:rsidP="00B6289A"/>
    <w:p w14:paraId="6FBA7A37" w14:textId="77777777" w:rsidR="00B6289A" w:rsidRDefault="00B6289A" w:rsidP="00B6289A">
      <w:r>
        <w:t>During months four and five, the steering group would request meetings with relevant providers and officials. It would seek written responses, clear points of contact, and a documented process for reviewing complaints. A proposed response target of thirty days would be negotiated rather than described as an existing legal deadline. If serious concerns remained unanswered, participants could consider a peaceful demonstration after reviewing safety and applicable requirements. Month six would focus on evaluation and a public summary that protects identities. My contribution would be research, meeting support, and communication, with decisions shared by affected community members rather than controlled by one organizer.</w:t>
      </w:r>
    </w:p>
    <w:p w14:paraId="5FEF82FE" w14:textId="77777777" w:rsidR="00B6289A" w:rsidRDefault="00B6289A" w:rsidP="00B6289A"/>
    <w:p w14:paraId="02814396" w14:textId="77777777" w:rsidR="00B6289A" w:rsidRDefault="00B6289A" w:rsidP="00B6289A">
      <w:r>
        <w:t>Expected Results and Responsible Implementation</w:t>
      </w:r>
    </w:p>
    <w:p w14:paraId="340A87E4" w14:textId="77777777" w:rsidR="00B6289A" w:rsidRDefault="00B6289A" w:rsidP="00B6289A"/>
    <w:p w14:paraId="130C0ABA" w14:textId="77777777" w:rsidR="00B6289A" w:rsidRDefault="00B6289A" w:rsidP="00B6289A">
      <w:r>
        <w:t xml:space="preserve">The hoped-for results are greater understanding of rights, a usable reporting process, and documented responses to substantiated concerns. Proposed pilot targets are two educational meetings, one reviewed resource guide, at least one meeting with a provider or official, and a written follow-up for every report whose author consents to contact. Short surveys before and after educational sessions could assess whether participants know </w:t>
      </w:r>
      <w:r>
        <w:lastRenderedPageBreak/>
        <w:t>where to seek help. A confidential tracking log could record referrals, response times, and unresolved issues.</w:t>
      </w:r>
    </w:p>
    <w:p w14:paraId="50044455" w14:textId="77777777" w:rsidR="00B6289A" w:rsidRDefault="00B6289A" w:rsidP="00B6289A"/>
    <w:p w14:paraId="4EBE44A6" w14:textId="77777777" w:rsidR="00B6289A" w:rsidRDefault="00B6289A" w:rsidP="00B6289A">
      <w:r>
        <w:t>The initiative could benefit affected people by reducing the difficulty of navigating institutions alone. An initial increase in complaints would not automatically indicate that treatment had worsened; it might mean people had learned how to report experiences previously left undocumented. Evaluation should therefore examine the quality of responses and the experiences of participants, not simply count complaints. The Freedom Rides’ enforcement outcome provides a historical example of why a policy change should be connected to practical follow-through (National Park Service, 2025b).</w:t>
      </w:r>
    </w:p>
    <w:p w14:paraId="745C70FD" w14:textId="77777777" w:rsidR="00B6289A" w:rsidRDefault="00B6289A" w:rsidP="00B6289A"/>
    <w:p w14:paraId="19678E34" w14:textId="77777777" w:rsidR="00B6289A" w:rsidRDefault="00B6289A" w:rsidP="00B6289A">
      <w:r>
        <w:t>Legal and ethical considerations must shape every stage. Speech, peaceful assembly, and petition provide a foundation for advocacy, but organizers should verify applicable location and event requirements before acting (National Archives and Records Administration, n.d.). A qualified legal partner should review questions about complaints, recordings, or civil disobedience. Participants need an honest explanation of risks and freedom to decline public involvement. Reports should contain necessary information only, with consent for sharing and restricted access. Organizers should avoid publishing names or accusations before checking evidence. These safeguards protect people who report harm and people whose conduct is questioned, while supporting the credibility of the campaign.</w:t>
      </w:r>
    </w:p>
    <w:p w14:paraId="34C710C5" w14:textId="77777777" w:rsidR="00B6289A" w:rsidRDefault="00B6289A" w:rsidP="00B6289A"/>
    <w:p w14:paraId="53DB3207" w14:textId="77777777" w:rsidR="00B6289A" w:rsidRDefault="00B6289A" w:rsidP="00B6289A">
      <w:r>
        <w:t>Defense of the Position and Continuing Commitment</w:t>
      </w:r>
    </w:p>
    <w:p w14:paraId="1B1B15EE" w14:textId="77777777" w:rsidR="00B6289A" w:rsidRDefault="00B6289A" w:rsidP="00B6289A"/>
    <w:p w14:paraId="792507B3" w14:textId="77777777" w:rsidR="00B6289A" w:rsidRDefault="00B6289A" w:rsidP="00B6289A">
      <w:r>
        <w:t xml:space="preserve">My position is that equal access requires education and institutional accountability together. Education alone may leave an informed person without a meaningful remedy. Enforcement without community participation may overlook barriers people face when seeking help. CORE’s Freedom Rides demonstrated the importance of connecting lived experience to a specific demand for action. The campaign challenged the gap between formal protection and everyday treatment, a problem that remains a useful subject for civic investigation without </w:t>
      </w:r>
      <w:proofErr w:type="gramStart"/>
      <w:r>
        <w:t>assuming that</w:t>
      </w:r>
      <w:proofErr w:type="gramEnd"/>
      <w:r>
        <w:t xml:space="preserve"> present conditions duplicate 1961.</w:t>
      </w:r>
    </w:p>
    <w:p w14:paraId="1CA55FBB" w14:textId="77777777" w:rsidR="00B6289A" w:rsidRDefault="00B6289A" w:rsidP="00B6289A"/>
    <w:p w14:paraId="0F564C99" w14:textId="77777777" w:rsidR="00B6289A" w:rsidRDefault="00B6289A" w:rsidP="00B6289A">
      <w:r>
        <w:t xml:space="preserve">The strongest practical objections concern cost, disruption, and the possibility of mistaken accusations. My plan responds by beginning with a limited pilot, checking evidence, </w:t>
      </w:r>
      <w:r>
        <w:lastRenderedPageBreak/>
        <w:t>offering dialogue, and protecting privacy. Patterson’s historical claim that the riders themselves were the source of trouble illustrates a different objection: preserving order by removing those who challenge unequal conditions (WSB-TV, 1961). I reject that reasoning because the absence of visible protest does not demonstrate fairness. At the same time, acknowledging safety concerns means choosing methods deliberately and avoiding pressure on people to take risks they do not accept.</w:t>
      </w:r>
    </w:p>
    <w:p w14:paraId="7CC53DE1" w14:textId="77777777" w:rsidR="00B6289A" w:rsidRDefault="00B6289A" w:rsidP="00B6289A"/>
    <w:p w14:paraId="35E3D8B3" w14:textId="77777777" w:rsidR="00B6289A" w:rsidRDefault="00B6289A" w:rsidP="00B6289A">
      <w:r>
        <w:t>I would review what the initiative learns before recommending expansion. Success would include concrete improvements in complaint handling as well as stronger community participation. As my earlier reflection explains, I also need to examine my own assumptions when change feels uncomfortable. Active citizenship requires that personal responsibility alongside collective action. By grounding recommendations in evidence, allowing disagreement about methods, and insisting on equal dignity, I can apply the historical lessons of CORE to a practical and accountable effort for change.</w:t>
      </w:r>
    </w:p>
    <w:p w14:paraId="00FD1D87" w14:textId="77777777" w:rsidR="00B6289A" w:rsidRDefault="00B6289A" w:rsidP="00B6289A"/>
    <w:p w14:paraId="096276FF" w14:textId="77777777" w:rsidR="00B6289A" w:rsidRDefault="00B6289A" w:rsidP="00B6289A"/>
    <w:p w14:paraId="217BDBE6" w14:textId="77777777" w:rsidR="00B6289A" w:rsidRDefault="00B6289A" w:rsidP="00B6289A"/>
    <w:p w14:paraId="27AFBB91" w14:textId="77777777" w:rsidR="00B6289A" w:rsidRDefault="00B6289A" w:rsidP="00B6289A">
      <w:r>
        <w:t>References</w:t>
      </w:r>
    </w:p>
    <w:p w14:paraId="1BBB83EE" w14:textId="77777777" w:rsidR="00B6289A" w:rsidRDefault="00B6289A" w:rsidP="00B6289A"/>
    <w:p w14:paraId="03C0FFEB" w14:textId="77777777" w:rsidR="00B6289A" w:rsidRDefault="00B6289A" w:rsidP="00B6289A">
      <w:r>
        <w:t>Arsenault, R. (2011). Freedom riders: 1961 and the struggle for racial justice (Abridged ed.). Oxford University Press.</w:t>
      </w:r>
    </w:p>
    <w:p w14:paraId="1E2689EA" w14:textId="77777777" w:rsidR="00B6289A" w:rsidRDefault="00B6289A" w:rsidP="00B6289A"/>
    <w:p w14:paraId="4785A64B" w14:textId="77777777" w:rsidR="00B6289A" w:rsidRDefault="00B6289A" w:rsidP="00B6289A">
      <w:r>
        <w:t>Farmer, J. (1961, April 4). Letter to A. Philip Randolph [Letter]. Brotherhood of Sleeping Car Porters Records, Library of Congress. https://www.loc.gov/exhibits/civil-rights-act/civil-rights-era.html#obj116</w:t>
      </w:r>
    </w:p>
    <w:p w14:paraId="6D4969FE" w14:textId="77777777" w:rsidR="00B6289A" w:rsidRDefault="00B6289A" w:rsidP="00B6289A"/>
    <w:p w14:paraId="3474163B" w14:textId="77777777" w:rsidR="00B6289A" w:rsidRDefault="00B6289A" w:rsidP="00B6289A">
      <w:r>
        <w:t>Library of Congress. (n.d.-a). Civil rights era (1950–1963). In The Civil Rights Act of 1964: A long struggle for freedom. https://www.loc.gov/exhibits/civil-rights-act/civil-rights-era.html</w:t>
      </w:r>
    </w:p>
    <w:p w14:paraId="6485B0EB" w14:textId="77777777" w:rsidR="00B6289A" w:rsidRDefault="00B6289A" w:rsidP="00B6289A"/>
    <w:p w14:paraId="77E11F41" w14:textId="77777777" w:rsidR="00B6289A" w:rsidRDefault="00B6289A" w:rsidP="00B6289A">
      <w:r>
        <w:t>Library of Congress. (n.d.-b). Multimedia. In The Civil Rights Act of 1964: A long struggle for freedom. https://www.loc.gov/exhibits/civil-rights-act/multimedia.html</w:t>
      </w:r>
    </w:p>
    <w:p w14:paraId="1278F26F" w14:textId="77777777" w:rsidR="00B6289A" w:rsidRDefault="00B6289A" w:rsidP="00B6289A"/>
    <w:p w14:paraId="44F93C81" w14:textId="77777777" w:rsidR="00B6289A" w:rsidRDefault="00B6289A" w:rsidP="00B6289A">
      <w:r>
        <w:t xml:space="preserve">Meier, A., &amp; </w:t>
      </w:r>
      <w:proofErr w:type="spellStart"/>
      <w:r>
        <w:t>Rudwick</w:t>
      </w:r>
      <w:proofErr w:type="spellEnd"/>
      <w:r>
        <w:t>, E. (1973). CORE: A study in the civil rights movement, 1942–1968. Oxford University Press.</w:t>
      </w:r>
    </w:p>
    <w:p w14:paraId="2892F2D6" w14:textId="77777777" w:rsidR="00B6289A" w:rsidRDefault="00B6289A" w:rsidP="00B6289A"/>
    <w:p w14:paraId="287ACAA5" w14:textId="77777777" w:rsidR="00B6289A" w:rsidRDefault="00B6289A" w:rsidP="00B6289A">
      <w:r>
        <w:t>National Archives and Records Administration. (n.d.). The Bill of Rights: A transcription. https://www.archives.gov/founding-docs/bill-of-rights-transcript</w:t>
      </w:r>
    </w:p>
    <w:p w14:paraId="09BCD9B0" w14:textId="77777777" w:rsidR="00B6289A" w:rsidRDefault="00B6289A" w:rsidP="00B6289A"/>
    <w:p w14:paraId="2CF7DBD4" w14:textId="77777777" w:rsidR="00B6289A" w:rsidRDefault="00B6289A" w:rsidP="00B6289A"/>
    <w:p w14:paraId="3BB911E8" w14:textId="77777777" w:rsidR="00B6289A" w:rsidRDefault="00B6289A" w:rsidP="00B6289A"/>
    <w:p w14:paraId="45F0CC78" w14:textId="77777777" w:rsidR="00B6289A" w:rsidRDefault="00B6289A" w:rsidP="00B6289A">
      <w:r>
        <w:t>References Continued</w:t>
      </w:r>
    </w:p>
    <w:p w14:paraId="41E0F39B" w14:textId="77777777" w:rsidR="00B6289A" w:rsidRDefault="00B6289A" w:rsidP="00B6289A"/>
    <w:p w14:paraId="6DEE5D3E" w14:textId="77777777" w:rsidR="00B6289A" w:rsidRDefault="00B6289A" w:rsidP="00B6289A">
      <w:r>
        <w:t>National Archives and Records Administration. (2021, May 5). The people v. Jim Crow: Federal cases that inspired the Freedom Rides of 1961. Rediscovering Black History. https://rediscovering-black-history.blogs.archives.gov/2021/05/05/the-people-v-jim-crow/</w:t>
      </w:r>
    </w:p>
    <w:p w14:paraId="6C7C0EDA" w14:textId="77777777" w:rsidR="00B6289A" w:rsidRDefault="00B6289A" w:rsidP="00B6289A"/>
    <w:p w14:paraId="6E52C0A5" w14:textId="77777777" w:rsidR="00B6289A" w:rsidRDefault="00B6289A" w:rsidP="00B6289A">
      <w:r>
        <w:t>National Park Service. (2025a, February 10). The Kennedys and the civil rights movement. https://www.nps.gov/articles/000/the-kennedys-and-civil-rights.htm</w:t>
      </w:r>
    </w:p>
    <w:p w14:paraId="77B57917" w14:textId="77777777" w:rsidR="00B6289A" w:rsidRDefault="00B6289A" w:rsidP="00B6289A"/>
    <w:p w14:paraId="07F37101" w14:textId="77777777" w:rsidR="00B6289A" w:rsidRDefault="00B6289A" w:rsidP="00B6289A">
      <w:r>
        <w:t>National Park Service. (2025b, March 20). History &amp; culture. Freedom Riders National Monument. https://www.nps.gov/frri/learn/historyculture.htm</w:t>
      </w:r>
    </w:p>
    <w:p w14:paraId="2142DA67" w14:textId="77777777" w:rsidR="00B6289A" w:rsidRDefault="00B6289A" w:rsidP="00B6289A"/>
    <w:p w14:paraId="1CC16D3F" w14:textId="77777777" w:rsidR="00B6289A" w:rsidRDefault="00B6289A" w:rsidP="00B6289A">
      <w:r>
        <w:t>The Martin Luther King, Jr. Research and Education Institute. (n.d.). Freedom Rides. Stanford University. https://kinginstitute.stanford.edu/freedom-rides</w:t>
      </w:r>
    </w:p>
    <w:p w14:paraId="4388DCD5" w14:textId="77777777" w:rsidR="00B6289A" w:rsidRDefault="00B6289A" w:rsidP="00B6289A"/>
    <w:p w14:paraId="3E3F203C" w14:textId="748CB423" w:rsidR="00B6289A" w:rsidRDefault="00B6289A" w:rsidP="00B6289A">
      <w:r>
        <w:t xml:space="preserve">WSB-TV. (1961, May 23). WSB-TV </w:t>
      </w:r>
      <w:proofErr w:type="spellStart"/>
      <w:r>
        <w:t>newsfilm</w:t>
      </w:r>
      <w:proofErr w:type="spellEnd"/>
      <w:r>
        <w:t xml:space="preserve"> clip of a press conference during which Alabama governor John Patterson condemns the Freedom Riders for instigating racial trouble and demands that the Freedom Riders and Martin Luther King, Jr. leave the state, Montgomery, Alabama [</w:t>
      </w:r>
      <w:proofErr w:type="spellStart"/>
      <w:r>
        <w:t>Newsfilm</w:t>
      </w:r>
      <w:proofErr w:type="spellEnd"/>
      <w:r>
        <w:t xml:space="preserve">]. WSB-TV </w:t>
      </w:r>
      <w:proofErr w:type="spellStart"/>
      <w:r>
        <w:t>Newsfilm</w:t>
      </w:r>
      <w:proofErr w:type="spellEnd"/>
      <w:r>
        <w:t xml:space="preserve"> Collection, Walter J. Brown Media Archives and Peabody Awards Collection, University of Georgia Libraries. Civil Rights Digital Library. https://crdl.usg.edu/record/ugabma_wsbn_wsbn34963</w:t>
      </w:r>
    </w:p>
    <w:sectPr w:rsidR="00B62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9A"/>
    <w:rsid w:val="002403B0"/>
    <w:rsid w:val="00B6289A"/>
    <w:rsid w:val="00DA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EE4DC"/>
  <w15:chartTrackingRefBased/>
  <w15:docId w15:val="{BAC677C2-49C2-1E40-B40A-CAE6ED01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89A"/>
    <w:rPr>
      <w:rFonts w:eastAsiaTheme="majorEastAsia" w:cstheme="majorBidi"/>
      <w:color w:val="272727" w:themeColor="text1" w:themeTint="D8"/>
    </w:rPr>
  </w:style>
  <w:style w:type="paragraph" w:styleId="Title">
    <w:name w:val="Title"/>
    <w:basedOn w:val="Normal"/>
    <w:next w:val="Normal"/>
    <w:link w:val="TitleChar"/>
    <w:uiPriority w:val="10"/>
    <w:qFormat/>
    <w:rsid w:val="00B62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89A"/>
    <w:pPr>
      <w:spacing w:before="160"/>
      <w:jc w:val="center"/>
    </w:pPr>
    <w:rPr>
      <w:i/>
      <w:iCs/>
      <w:color w:val="404040" w:themeColor="text1" w:themeTint="BF"/>
    </w:rPr>
  </w:style>
  <w:style w:type="character" w:customStyle="1" w:styleId="QuoteChar">
    <w:name w:val="Quote Char"/>
    <w:basedOn w:val="DefaultParagraphFont"/>
    <w:link w:val="Quote"/>
    <w:uiPriority w:val="29"/>
    <w:rsid w:val="00B6289A"/>
    <w:rPr>
      <w:i/>
      <w:iCs/>
      <w:color w:val="404040" w:themeColor="text1" w:themeTint="BF"/>
    </w:rPr>
  </w:style>
  <w:style w:type="paragraph" w:styleId="ListParagraph">
    <w:name w:val="List Paragraph"/>
    <w:basedOn w:val="Normal"/>
    <w:uiPriority w:val="34"/>
    <w:qFormat/>
    <w:rsid w:val="00B6289A"/>
    <w:pPr>
      <w:ind w:left="720"/>
      <w:contextualSpacing/>
    </w:pPr>
  </w:style>
  <w:style w:type="character" w:styleId="IntenseEmphasis">
    <w:name w:val="Intense Emphasis"/>
    <w:basedOn w:val="DefaultParagraphFont"/>
    <w:uiPriority w:val="21"/>
    <w:qFormat/>
    <w:rsid w:val="00B6289A"/>
    <w:rPr>
      <w:i/>
      <w:iCs/>
      <w:color w:val="0F4761" w:themeColor="accent1" w:themeShade="BF"/>
    </w:rPr>
  </w:style>
  <w:style w:type="paragraph" w:styleId="IntenseQuote">
    <w:name w:val="Intense Quote"/>
    <w:basedOn w:val="Normal"/>
    <w:next w:val="Normal"/>
    <w:link w:val="IntenseQuoteChar"/>
    <w:uiPriority w:val="30"/>
    <w:qFormat/>
    <w:rsid w:val="00B62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89A"/>
    <w:rPr>
      <w:i/>
      <w:iCs/>
      <w:color w:val="0F4761" w:themeColor="accent1" w:themeShade="BF"/>
    </w:rPr>
  </w:style>
  <w:style w:type="character" w:styleId="IntenseReference">
    <w:name w:val="Intense Reference"/>
    <w:basedOn w:val="DefaultParagraphFont"/>
    <w:uiPriority w:val="32"/>
    <w:qFormat/>
    <w:rsid w:val="00B62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foy</dc:creator>
  <cp:keywords/>
  <dc:description/>
  <cp:lastModifiedBy>Leonard foy</cp:lastModifiedBy>
  <cp:revision>1</cp:revision>
  <dcterms:created xsi:type="dcterms:W3CDTF">2026-10-18T17:25:00Z</dcterms:created>
  <dcterms:modified xsi:type="dcterms:W3CDTF">2026-10-18T17:43:00Z</dcterms:modified>
</cp:coreProperties>
</file>