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6250" w14:textId="77777777" w:rsidR="00A86ABC" w:rsidRPr="007B7C3B" w:rsidRDefault="00CA4F46">
      <w:pPr>
        <w:ind w:right="681"/>
        <w:jc w:val="center"/>
        <w:rPr>
          <w:b/>
          <w:color w:val="000000"/>
          <w:sz w:val="28"/>
          <w:szCs w:val="28"/>
          <w:u w:val="single"/>
        </w:rPr>
      </w:pPr>
      <w:r w:rsidRPr="007B7C3B">
        <w:rPr>
          <w:b/>
          <w:color w:val="000000"/>
          <w:sz w:val="28"/>
          <w:szCs w:val="28"/>
          <w:u w:val="single"/>
        </w:rPr>
        <w:t>AYUDA MEMORIA</w:t>
      </w:r>
    </w:p>
    <w:p w14:paraId="6F52B843" w14:textId="77777777" w:rsidR="005E12F5" w:rsidRDefault="005E12F5">
      <w:pPr>
        <w:rPr>
          <w:color w:val="000000"/>
          <w:sz w:val="17"/>
          <w:szCs w:val="17"/>
          <w:u w:val="single"/>
        </w:rPr>
      </w:pPr>
    </w:p>
    <w:p w14:paraId="1DE3D5F9" w14:textId="1781FF93" w:rsidR="005E12F5" w:rsidRPr="00C24E00" w:rsidRDefault="00B62E5B">
      <w:pPr>
        <w:rPr>
          <w:rFonts w:ascii="Aptos" w:hAnsi="Aptos"/>
          <w:b/>
          <w:bCs/>
          <w:color w:val="000000"/>
        </w:rPr>
      </w:pPr>
      <w:r w:rsidRPr="00C24E00">
        <w:rPr>
          <w:rFonts w:ascii="Aptos" w:hAnsi="Aptos"/>
          <w:b/>
          <w:bCs/>
          <w:color w:val="000000"/>
        </w:rPr>
        <w:t xml:space="preserve">Criterios para la calificación de </w:t>
      </w:r>
      <w:r w:rsidR="00397E14" w:rsidRPr="00C24E00">
        <w:rPr>
          <w:rFonts w:ascii="Aptos" w:hAnsi="Aptos"/>
          <w:b/>
          <w:bCs/>
          <w:color w:val="000000"/>
        </w:rPr>
        <w:t>la calidad de los informes de fiscalización</w:t>
      </w:r>
    </w:p>
    <w:p w14:paraId="72B2E76D" w14:textId="77777777" w:rsidR="00685A44" w:rsidRDefault="00685A44">
      <w:pPr>
        <w:rPr>
          <w:rFonts w:ascii="Aptos" w:hAnsi="Aptos"/>
          <w:color w:val="000000"/>
          <w:u w:val="single"/>
        </w:rPr>
      </w:pPr>
    </w:p>
    <w:p w14:paraId="03FA3BF9" w14:textId="1C92D43E" w:rsidR="00AC38B2" w:rsidRPr="000053FF" w:rsidRDefault="00AC38B2" w:rsidP="00CE24CB">
      <w:pPr>
        <w:jc w:val="both"/>
        <w:rPr>
          <w:rFonts w:ascii="Aptos" w:hAnsi="Aptos"/>
          <w:color w:val="000000"/>
          <w:sz w:val="20"/>
          <w:szCs w:val="20"/>
        </w:rPr>
      </w:pPr>
      <w:r w:rsidRPr="000053FF">
        <w:rPr>
          <w:rFonts w:ascii="Aptos" w:hAnsi="Aptos"/>
          <w:color w:val="000000"/>
          <w:sz w:val="20"/>
          <w:szCs w:val="20"/>
          <w:u w:val="single"/>
        </w:rPr>
        <w:t>Problemática</w:t>
      </w:r>
      <w:r w:rsidRPr="000053FF">
        <w:rPr>
          <w:rFonts w:ascii="Aptos" w:hAnsi="Aptos"/>
          <w:color w:val="000000"/>
          <w:sz w:val="20"/>
          <w:szCs w:val="20"/>
        </w:rPr>
        <w:t xml:space="preserve">: </w:t>
      </w:r>
      <w:r w:rsidR="00C06DF4" w:rsidRPr="000053FF">
        <w:rPr>
          <w:rFonts w:ascii="Aptos" w:hAnsi="Aptos"/>
          <w:color w:val="000000"/>
          <w:sz w:val="20"/>
          <w:szCs w:val="20"/>
        </w:rPr>
        <w:t xml:space="preserve">La casuística asociada a deficiencia </w:t>
      </w:r>
      <w:r w:rsidR="0089198F" w:rsidRPr="000053FF">
        <w:rPr>
          <w:rFonts w:ascii="Aptos" w:hAnsi="Aptos"/>
          <w:color w:val="000000"/>
          <w:sz w:val="20"/>
          <w:szCs w:val="20"/>
        </w:rPr>
        <w:t xml:space="preserve">total o parcial </w:t>
      </w:r>
      <w:r w:rsidR="00C06DF4" w:rsidRPr="000053FF">
        <w:rPr>
          <w:rFonts w:ascii="Aptos" w:hAnsi="Aptos"/>
          <w:color w:val="000000"/>
          <w:sz w:val="20"/>
          <w:szCs w:val="20"/>
        </w:rPr>
        <w:t xml:space="preserve">en la calidad </w:t>
      </w:r>
      <w:r w:rsidR="00A344CF" w:rsidRPr="000053FF">
        <w:rPr>
          <w:rFonts w:ascii="Aptos" w:hAnsi="Aptos"/>
          <w:color w:val="000000"/>
          <w:sz w:val="20"/>
          <w:szCs w:val="20"/>
        </w:rPr>
        <w:t xml:space="preserve">de </w:t>
      </w:r>
      <w:r w:rsidR="00C06DF4" w:rsidRPr="000053FF">
        <w:rPr>
          <w:rFonts w:ascii="Aptos" w:hAnsi="Aptos"/>
          <w:color w:val="000000"/>
          <w:sz w:val="20"/>
          <w:szCs w:val="20"/>
        </w:rPr>
        <w:t xml:space="preserve">los informes de </w:t>
      </w:r>
      <w:r w:rsidR="0070269A" w:rsidRPr="000053FF">
        <w:rPr>
          <w:rFonts w:ascii="Aptos" w:hAnsi="Aptos"/>
          <w:color w:val="000000"/>
          <w:sz w:val="20"/>
          <w:szCs w:val="20"/>
        </w:rPr>
        <w:t xml:space="preserve">supervisión </w:t>
      </w:r>
      <w:r w:rsidR="00B32BF8" w:rsidRPr="000053FF">
        <w:rPr>
          <w:rFonts w:ascii="Aptos" w:hAnsi="Aptos"/>
          <w:color w:val="000000"/>
          <w:sz w:val="20"/>
          <w:szCs w:val="20"/>
        </w:rPr>
        <w:t>representarían un riesgo</w:t>
      </w:r>
      <w:r w:rsidR="00C06DF4" w:rsidRPr="000053FF">
        <w:rPr>
          <w:rFonts w:ascii="Aptos" w:hAnsi="Aptos"/>
          <w:color w:val="000000"/>
          <w:sz w:val="20"/>
          <w:szCs w:val="20"/>
        </w:rPr>
        <w:t xml:space="preserve"> potencial</w:t>
      </w:r>
      <w:r w:rsidR="00B32BF8" w:rsidRPr="000053FF">
        <w:rPr>
          <w:rFonts w:ascii="Aptos" w:hAnsi="Aptos"/>
          <w:color w:val="000000"/>
          <w:sz w:val="20"/>
          <w:szCs w:val="20"/>
        </w:rPr>
        <w:t xml:space="preserve"> en</w:t>
      </w:r>
      <w:r w:rsidR="0070269A" w:rsidRPr="000053FF">
        <w:rPr>
          <w:rFonts w:ascii="Aptos" w:hAnsi="Aptos"/>
          <w:color w:val="000000"/>
          <w:sz w:val="20"/>
          <w:szCs w:val="20"/>
        </w:rPr>
        <w:t xml:space="preserve"> el correcto desempeño de</w:t>
      </w:r>
      <w:r w:rsidR="00CE24CB" w:rsidRPr="000053FF">
        <w:rPr>
          <w:rFonts w:ascii="Aptos" w:hAnsi="Aptos"/>
          <w:color w:val="000000"/>
          <w:sz w:val="20"/>
          <w:szCs w:val="20"/>
        </w:rPr>
        <w:t xml:space="preserve"> los</w:t>
      </w:r>
      <w:r w:rsidR="0070269A" w:rsidRPr="000053FF">
        <w:rPr>
          <w:rFonts w:ascii="Aptos" w:hAnsi="Aptos"/>
          <w:color w:val="000000"/>
          <w:sz w:val="20"/>
          <w:szCs w:val="20"/>
        </w:rPr>
        <w:t xml:space="preserve"> </w:t>
      </w:r>
      <w:r w:rsidR="00CE24CB" w:rsidRPr="000053FF">
        <w:rPr>
          <w:rFonts w:ascii="Aptos" w:hAnsi="Aptos"/>
          <w:color w:val="000000"/>
          <w:sz w:val="20"/>
          <w:szCs w:val="20"/>
        </w:rPr>
        <w:t>Procesos Administrativos Sancionadores (PAS)</w:t>
      </w:r>
      <w:r w:rsidR="00C06DF4" w:rsidRPr="000053FF">
        <w:rPr>
          <w:rFonts w:ascii="Aptos" w:hAnsi="Aptos"/>
          <w:color w:val="000000"/>
          <w:sz w:val="20"/>
          <w:szCs w:val="20"/>
        </w:rPr>
        <w:t>.</w:t>
      </w:r>
      <w:r w:rsidR="0089198F" w:rsidRPr="000053FF">
        <w:rPr>
          <w:rFonts w:ascii="Aptos" w:hAnsi="Aptos"/>
          <w:color w:val="000000"/>
          <w:sz w:val="20"/>
          <w:szCs w:val="20"/>
        </w:rPr>
        <w:t xml:space="preserve"> Por ello, resulta necesario establecer criterios mínimos de evaluación con el fin de garantizar la </w:t>
      </w:r>
      <w:r w:rsidR="00512DA4" w:rsidRPr="000053FF">
        <w:rPr>
          <w:rFonts w:ascii="Aptos" w:hAnsi="Aptos"/>
          <w:color w:val="000000"/>
          <w:sz w:val="20"/>
          <w:szCs w:val="20"/>
        </w:rPr>
        <w:t>mitigación de este riesgo potencial.</w:t>
      </w:r>
    </w:p>
    <w:p w14:paraId="67459545" w14:textId="77777777" w:rsidR="00AC38B2" w:rsidRPr="000053FF" w:rsidRDefault="00AC38B2" w:rsidP="00CE24CB">
      <w:pPr>
        <w:jc w:val="both"/>
        <w:rPr>
          <w:rFonts w:ascii="Aptos" w:hAnsi="Aptos"/>
          <w:color w:val="000000"/>
          <w:sz w:val="20"/>
          <w:szCs w:val="20"/>
        </w:rPr>
      </w:pPr>
    </w:p>
    <w:p w14:paraId="030D34C5" w14:textId="5669B661" w:rsidR="00C24E00" w:rsidRPr="000053FF" w:rsidRDefault="00C24E00" w:rsidP="00CE24CB">
      <w:pPr>
        <w:jc w:val="both"/>
        <w:rPr>
          <w:rFonts w:ascii="Aptos" w:hAnsi="Aptos"/>
          <w:color w:val="000000"/>
          <w:sz w:val="20"/>
          <w:szCs w:val="20"/>
        </w:rPr>
      </w:pPr>
      <w:r w:rsidRPr="000053FF">
        <w:rPr>
          <w:rFonts w:ascii="Aptos" w:hAnsi="Aptos"/>
          <w:color w:val="000000"/>
          <w:sz w:val="20"/>
          <w:szCs w:val="20"/>
          <w:u w:val="single"/>
        </w:rPr>
        <w:t>Objetivo</w:t>
      </w:r>
      <w:r w:rsidRPr="000053FF">
        <w:rPr>
          <w:rFonts w:ascii="Aptos" w:hAnsi="Aptos"/>
          <w:color w:val="000000"/>
          <w:sz w:val="20"/>
          <w:szCs w:val="20"/>
        </w:rPr>
        <w:t xml:space="preserve">: </w:t>
      </w:r>
      <w:r w:rsidR="0089224F" w:rsidRPr="000053FF">
        <w:rPr>
          <w:rFonts w:ascii="Aptos" w:hAnsi="Aptos"/>
          <w:color w:val="000000"/>
          <w:sz w:val="20"/>
          <w:szCs w:val="20"/>
        </w:rPr>
        <w:t xml:space="preserve">Establecer los criterios mínimos de </w:t>
      </w:r>
      <w:r w:rsidR="009018A5" w:rsidRPr="000053FF">
        <w:rPr>
          <w:rFonts w:ascii="Aptos" w:hAnsi="Aptos"/>
          <w:color w:val="000000"/>
          <w:sz w:val="20"/>
          <w:szCs w:val="20"/>
        </w:rPr>
        <w:t xml:space="preserve">calidad de los insumos para </w:t>
      </w:r>
      <w:r w:rsidR="00EC3373" w:rsidRPr="000053FF">
        <w:rPr>
          <w:rFonts w:ascii="Aptos" w:hAnsi="Aptos"/>
          <w:color w:val="000000"/>
          <w:sz w:val="20"/>
          <w:szCs w:val="20"/>
        </w:rPr>
        <w:t xml:space="preserve">la adecuada evaluación </w:t>
      </w:r>
      <w:r w:rsidR="00A46E63" w:rsidRPr="000053FF">
        <w:rPr>
          <w:rFonts w:ascii="Aptos" w:hAnsi="Aptos"/>
          <w:color w:val="000000"/>
          <w:sz w:val="20"/>
          <w:szCs w:val="20"/>
        </w:rPr>
        <w:t xml:space="preserve">y tramitación </w:t>
      </w:r>
      <w:r w:rsidR="00EC3373" w:rsidRPr="000053FF">
        <w:rPr>
          <w:rFonts w:ascii="Aptos" w:hAnsi="Aptos"/>
          <w:color w:val="000000"/>
          <w:sz w:val="20"/>
          <w:szCs w:val="20"/>
        </w:rPr>
        <w:t>de los PAS</w:t>
      </w:r>
      <w:r w:rsidR="00A46E63" w:rsidRPr="000053FF">
        <w:rPr>
          <w:rFonts w:ascii="Aptos" w:hAnsi="Aptos"/>
          <w:color w:val="000000"/>
          <w:sz w:val="20"/>
          <w:szCs w:val="20"/>
        </w:rPr>
        <w:t xml:space="preserve"> de manera eficiente</w:t>
      </w:r>
      <w:r w:rsidR="00AB307E" w:rsidRPr="000053FF">
        <w:rPr>
          <w:rFonts w:ascii="Aptos" w:hAnsi="Aptos"/>
          <w:color w:val="000000"/>
          <w:sz w:val="20"/>
          <w:szCs w:val="20"/>
        </w:rPr>
        <w:t xml:space="preserve"> y eficaz</w:t>
      </w:r>
      <w:r w:rsidR="00615BFD" w:rsidRPr="000053FF">
        <w:rPr>
          <w:rFonts w:ascii="Aptos" w:hAnsi="Aptos"/>
          <w:color w:val="000000"/>
          <w:sz w:val="20"/>
          <w:szCs w:val="20"/>
        </w:rPr>
        <w:t>.</w:t>
      </w:r>
    </w:p>
    <w:p w14:paraId="5EAAC9B1" w14:textId="77777777" w:rsidR="009E4CD3" w:rsidRPr="000053FF" w:rsidRDefault="009E4CD3" w:rsidP="00CE24CB">
      <w:pPr>
        <w:jc w:val="both"/>
        <w:rPr>
          <w:rFonts w:ascii="Aptos" w:hAnsi="Aptos"/>
          <w:color w:val="000000"/>
          <w:sz w:val="20"/>
          <w:szCs w:val="20"/>
        </w:rPr>
      </w:pPr>
    </w:p>
    <w:p w14:paraId="3256652A" w14:textId="78F9B1A3" w:rsidR="009E4CD3" w:rsidRPr="000053FF" w:rsidRDefault="009E4CD3" w:rsidP="00CE24CB">
      <w:pPr>
        <w:jc w:val="both"/>
        <w:rPr>
          <w:rFonts w:ascii="Aptos" w:hAnsi="Aptos"/>
          <w:color w:val="000000"/>
          <w:sz w:val="20"/>
          <w:szCs w:val="20"/>
        </w:rPr>
      </w:pPr>
      <w:r w:rsidRPr="000053FF">
        <w:rPr>
          <w:rFonts w:ascii="Aptos" w:hAnsi="Aptos"/>
          <w:color w:val="000000"/>
          <w:sz w:val="20"/>
          <w:szCs w:val="20"/>
          <w:u w:val="single"/>
        </w:rPr>
        <w:t>Definición de los criterios:</w:t>
      </w:r>
      <w:r w:rsidRPr="000053FF">
        <w:rPr>
          <w:rFonts w:ascii="Aptos" w:hAnsi="Aptos"/>
          <w:color w:val="000000"/>
          <w:sz w:val="20"/>
          <w:szCs w:val="20"/>
        </w:rPr>
        <w:t xml:space="preserve"> </w:t>
      </w:r>
      <w:r w:rsidR="00512DA4" w:rsidRPr="000053FF">
        <w:rPr>
          <w:rFonts w:ascii="Aptos" w:hAnsi="Aptos"/>
          <w:color w:val="000000"/>
          <w:sz w:val="20"/>
          <w:szCs w:val="20"/>
        </w:rPr>
        <w:t xml:space="preserve">Se realizó una serie de entrevistas o juicio de expertos en coordinación con los responsables de la tramitación de expedientes con la finalidad de identificar algunos criterios relevantes que afecten el correcto desempeño </w:t>
      </w:r>
      <w:r w:rsidR="00980926" w:rsidRPr="000053FF">
        <w:rPr>
          <w:rFonts w:ascii="Aptos" w:hAnsi="Aptos"/>
          <w:color w:val="000000"/>
          <w:sz w:val="20"/>
          <w:szCs w:val="20"/>
        </w:rPr>
        <w:t xml:space="preserve">del proceso PAS. Los siguientes son los criterios que finalmente fueron seleccionados para </w:t>
      </w:r>
      <w:r w:rsidR="00F544BB" w:rsidRPr="000053FF">
        <w:rPr>
          <w:rFonts w:ascii="Aptos" w:hAnsi="Aptos"/>
          <w:color w:val="000000"/>
          <w:sz w:val="20"/>
          <w:szCs w:val="20"/>
        </w:rPr>
        <w:t>poder evaluar los informes elevados a la DFAI:</w:t>
      </w:r>
    </w:p>
    <w:p w14:paraId="32ABA70D" w14:textId="77777777" w:rsidR="001E68C1" w:rsidRPr="00615BFD" w:rsidRDefault="001E68C1" w:rsidP="00CE24CB">
      <w:pPr>
        <w:jc w:val="both"/>
        <w:rPr>
          <w:rFonts w:ascii="Aptos" w:hAnsi="Aptos"/>
          <w:color w:val="00000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5954"/>
      </w:tblGrid>
      <w:tr w:rsidR="001E68C1" w:rsidRPr="00C24E00" w14:paraId="67BC30B2" w14:textId="77777777" w:rsidTr="00B8572B">
        <w:trPr>
          <w:trHeight w:val="70"/>
          <w:jc w:val="center"/>
        </w:trPr>
        <w:tc>
          <w:tcPr>
            <w:tcW w:w="3539" w:type="dxa"/>
            <w:shd w:val="clear" w:color="156082" w:fill="156082"/>
            <w:noWrap/>
            <w:vAlign w:val="bottom"/>
            <w:hideMark/>
          </w:tcPr>
          <w:p w14:paraId="5A62D841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b/>
                <w:bCs/>
                <w:color w:val="FFFFFF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b/>
                <w:bCs/>
                <w:color w:val="FFFFFF"/>
                <w:sz w:val="18"/>
                <w:szCs w:val="18"/>
                <w:lang w:val="es-PE"/>
              </w:rPr>
              <w:t>CRITERIOS</w:t>
            </w:r>
          </w:p>
        </w:tc>
        <w:tc>
          <w:tcPr>
            <w:tcW w:w="5954" w:type="dxa"/>
            <w:shd w:val="clear" w:color="156082" w:fill="156082"/>
            <w:noWrap/>
            <w:vAlign w:val="bottom"/>
            <w:hideMark/>
          </w:tcPr>
          <w:p w14:paraId="1D0F1C44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b/>
                <w:bCs/>
                <w:color w:val="FFFFFF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b/>
                <w:bCs/>
                <w:color w:val="FFFFFF"/>
                <w:sz w:val="18"/>
                <w:szCs w:val="18"/>
                <w:lang w:val="es-PE"/>
              </w:rPr>
              <w:t>DEFINICION</w:t>
            </w:r>
          </w:p>
        </w:tc>
      </w:tr>
      <w:tr w:rsidR="001E68C1" w:rsidRPr="00C24E00" w14:paraId="5EC7747F" w14:textId="77777777" w:rsidTr="00B8572B">
        <w:trPr>
          <w:trHeight w:val="397"/>
          <w:jc w:val="center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39A50E42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Firma cuerpo del informe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C20BB8B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El cuerpo del documento carece de firmas y/o vistos de los responsables de la DS acorde a su MAPRO</w:t>
            </w:r>
          </w:p>
        </w:tc>
      </w:tr>
      <w:tr w:rsidR="001E68C1" w:rsidRPr="00C24E00" w14:paraId="5369BFC5" w14:textId="77777777" w:rsidTr="00B8572B">
        <w:trPr>
          <w:trHeight w:val="195"/>
          <w:jc w:val="center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4CD2466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Firma del anexo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CFA24FC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La ficha anexa carece de firmas y/o vistos de los responsables de la DS acorde a su MAPRO</w:t>
            </w:r>
          </w:p>
        </w:tc>
      </w:tr>
      <w:tr w:rsidR="001E68C1" w:rsidRPr="00C24E00" w14:paraId="49EE9B5B" w14:textId="77777777" w:rsidTr="00B8572B">
        <w:trPr>
          <w:trHeight w:val="70"/>
          <w:jc w:val="center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AEEDBE2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Incongruencias en el informe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876357B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El informe presenta incongruencias en la argumentación, conclusiones u otros.</w:t>
            </w:r>
          </w:p>
        </w:tc>
      </w:tr>
      <w:tr w:rsidR="001E68C1" w:rsidRPr="00C24E00" w14:paraId="55AB2B7A" w14:textId="77777777" w:rsidTr="00B8572B">
        <w:trPr>
          <w:trHeight w:val="153"/>
          <w:jc w:val="center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1CACC92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Errores de superposición (formatos)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C16E710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Los formatos impiden la visualización total o parcial de la información contenida en ellos</w:t>
            </w:r>
          </w:p>
        </w:tc>
      </w:tr>
      <w:tr w:rsidR="001E68C1" w:rsidRPr="00C24E00" w14:paraId="5BC3FB17" w14:textId="77777777" w:rsidTr="00B8572B">
        <w:trPr>
          <w:trHeight w:val="367"/>
          <w:jc w:val="center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2AFB8EB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Errores en MP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A55E1CB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Medios probatorios no se encuentran debidamente registrados (sin coordenadas, sin fechas, etc.)</w:t>
            </w:r>
          </w:p>
        </w:tc>
      </w:tr>
      <w:tr w:rsidR="001E68C1" w:rsidRPr="00C24E00" w14:paraId="22D92441" w14:textId="77777777" w:rsidTr="00B8572B">
        <w:trPr>
          <w:trHeight w:val="417"/>
          <w:jc w:val="center"/>
        </w:trPr>
        <w:tc>
          <w:tcPr>
            <w:tcW w:w="3539" w:type="dxa"/>
            <w:shd w:val="clear" w:color="auto" w:fill="auto"/>
            <w:vAlign w:val="center"/>
            <w:hideMark/>
          </w:tcPr>
          <w:p w14:paraId="0884931A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Observancia de plazos legales (riesgo de prescripción/caducidad)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10BF594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Alguno de los hechos imputados presenta riesgo de prescripción muy cercana a la fecha de evaluación de la DFAI</w:t>
            </w:r>
          </w:p>
        </w:tc>
      </w:tr>
      <w:tr w:rsidR="001E68C1" w:rsidRPr="00C24E00" w14:paraId="2FE41999" w14:textId="77777777" w:rsidTr="00B8572B">
        <w:trPr>
          <w:trHeight w:val="70"/>
          <w:jc w:val="center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7F50A441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Requerir información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3BA5F3A" w14:textId="77777777" w:rsidR="001E68C1" w:rsidRPr="00374565" w:rsidRDefault="001E68C1" w:rsidP="00792310">
            <w:pPr>
              <w:widowControl/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</w:pPr>
            <w:r w:rsidRPr="00374565">
              <w:rPr>
                <w:rFonts w:ascii="Aptos" w:eastAsia="Times New Roman" w:hAnsi="Aptos"/>
                <w:color w:val="000000"/>
                <w:sz w:val="18"/>
                <w:szCs w:val="18"/>
                <w:lang w:val="es-PE"/>
              </w:rPr>
              <w:t>Documento carece de sustento adecuado, se solicita mayor información a la DS</w:t>
            </w:r>
          </w:p>
        </w:tc>
      </w:tr>
    </w:tbl>
    <w:p w14:paraId="7ADA1860" w14:textId="77777777" w:rsidR="001E68C1" w:rsidRPr="00615BFD" w:rsidRDefault="001E68C1">
      <w:pPr>
        <w:rPr>
          <w:rFonts w:ascii="Aptos" w:hAnsi="Aptos"/>
          <w:color w:val="000000"/>
        </w:rPr>
      </w:pPr>
    </w:p>
    <w:p w14:paraId="47045D3A" w14:textId="0FCD129C" w:rsidR="00685A44" w:rsidRPr="000053FF" w:rsidRDefault="009E4CD3" w:rsidP="00B8572B">
      <w:pPr>
        <w:jc w:val="both"/>
        <w:rPr>
          <w:rFonts w:ascii="Aptos" w:hAnsi="Aptos"/>
          <w:color w:val="000000"/>
          <w:sz w:val="20"/>
          <w:szCs w:val="20"/>
        </w:rPr>
      </w:pPr>
      <w:r w:rsidRPr="000053FF">
        <w:rPr>
          <w:rFonts w:ascii="Aptos" w:hAnsi="Aptos"/>
          <w:color w:val="000000"/>
          <w:sz w:val="20"/>
          <w:szCs w:val="20"/>
          <w:u w:val="single"/>
        </w:rPr>
        <w:t>Determinación de los pesos:</w:t>
      </w:r>
      <w:r w:rsidR="00F544BB" w:rsidRPr="000053FF">
        <w:rPr>
          <w:rFonts w:ascii="Aptos" w:hAnsi="Aptos"/>
          <w:color w:val="000000"/>
          <w:sz w:val="20"/>
          <w:szCs w:val="20"/>
        </w:rPr>
        <w:t xml:space="preserve"> Una vez establecidos</w:t>
      </w:r>
      <w:r w:rsidR="009E3CD7" w:rsidRPr="000053FF">
        <w:rPr>
          <w:rFonts w:ascii="Aptos" w:hAnsi="Aptos"/>
          <w:color w:val="000000"/>
          <w:sz w:val="20"/>
          <w:szCs w:val="20"/>
        </w:rPr>
        <w:t xml:space="preserve"> los criterios, </w:t>
      </w:r>
      <w:r w:rsidR="005A1127">
        <w:rPr>
          <w:rFonts w:ascii="Aptos" w:hAnsi="Aptos"/>
          <w:color w:val="000000"/>
          <w:sz w:val="20"/>
          <w:szCs w:val="20"/>
        </w:rPr>
        <w:t>se aplicó</w:t>
      </w:r>
      <w:r w:rsidR="009E3CD7" w:rsidRPr="000053FF">
        <w:rPr>
          <w:rFonts w:ascii="Aptos" w:hAnsi="Aptos"/>
          <w:color w:val="000000"/>
          <w:sz w:val="20"/>
          <w:szCs w:val="20"/>
        </w:rPr>
        <w:t xml:space="preserve"> la metodología del </w:t>
      </w:r>
      <w:r w:rsidR="0046227E" w:rsidRPr="000053FF">
        <w:rPr>
          <w:rFonts w:ascii="Aptos" w:hAnsi="Aptos"/>
          <w:color w:val="000000"/>
          <w:sz w:val="20"/>
          <w:szCs w:val="20"/>
        </w:rPr>
        <w:t xml:space="preserve">Proceso de </w:t>
      </w:r>
      <w:r w:rsidR="009E3CD7" w:rsidRPr="000053FF">
        <w:rPr>
          <w:rFonts w:ascii="Aptos" w:hAnsi="Aptos"/>
          <w:color w:val="000000"/>
          <w:sz w:val="20"/>
          <w:szCs w:val="20"/>
        </w:rPr>
        <w:t>Análisis Jer</w:t>
      </w:r>
      <w:r w:rsidR="00F27C46" w:rsidRPr="000053FF">
        <w:rPr>
          <w:rFonts w:ascii="Aptos" w:hAnsi="Aptos"/>
          <w:color w:val="000000"/>
          <w:sz w:val="20"/>
          <w:szCs w:val="20"/>
        </w:rPr>
        <w:t>árquico de Opciones</w:t>
      </w:r>
      <w:r w:rsidR="0046227E" w:rsidRPr="000053FF">
        <w:rPr>
          <w:rFonts w:ascii="Aptos" w:hAnsi="Aptos"/>
          <w:color w:val="000000"/>
          <w:sz w:val="20"/>
          <w:szCs w:val="20"/>
        </w:rPr>
        <w:t xml:space="preserve"> (AHP por sus siglas en inglés)</w:t>
      </w:r>
      <w:r w:rsidR="00846601" w:rsidRPr="000053FF">
        <w:rPr>
          <w:rFonts w:ascii="Aptos" w:hAnsi="Aptos"/>
          <w:color w:val="000000"/>
          <w:sz w:val="20"/>
          <w:szCs w:val="20"/>
        </w:rPr>
        <w:t xml:space="preserve"> propuesto por Thomas </w:t>
      </w:r>
      <w:proofErr w:type="spellStart"/>
      <w:r w:rsidR="00846601" w:rsidRPr="000053FF">
        <w:rPr>
          <w:rFonts w:ascii="Aptos" w:hAnsi="Aptos"/>
          <w:color w:val="000000"/>
          <w:sz w:val="20"/>
          <w:szCs w:val="20"/>
        </w:rPr>
        <w:t>Saaty</w:t>
      </w:r>
      <w:proofErr w:type="spellEnd"/>
      <w:r w:rsidR="00B8572B" w:rsidRPr="000053FF">
        <w:rPr>
          <w:rStyle w:val="Refdenotaalpie"/>
          <w:rFonts w:ascii="Aptos" w:hAnsi="Aptos"/>
          <w:color w:val="000000"/>
          <w:sz w:val="20"/>
          <w:szCs w:val="20"/>
        </w:rPr>
        <w:footnoteReference w:id="1"/>
      </w:r>
      <w:r w:rsidR="00846601" w:rsidRPr="000053FF">
        <w:rPr>
          <w:rFonts w:ascii="Aptos" w:hAnsi="Aptos"/>
          <w:color w:val="000000"/>
          <w:sz w:val="20"/>
          <w:szCs w:val="20"/>
        </w:rPr>
        <w:t>. Esta metodología permite determinar de la manera más óptima y objetiva</w:t>
      </w:r>
      <w:r w:rsidR="00B8572B" w:rsidRPr="000053FF">
        <w:rPr>
          <w:rFonts w:ascii="Aptos" w:hAnsi="Aptos"/>
          <w:color w:val="000000"/>
          <w:sz w:val="20"/>
          <w:szCs w:val="20"/>
        </w:rPr>
        <w:t xml:space="preserve"> la priorización y pesos de los criterios establecidos. En esta etapa se </w:t>
      </w:r>
      <w:r w:rsidR="00FB175F" w:rsidRPr="000053FF">
        <w:rPr>
          <w:rFonts w:ascii="Aptos" w:hAnsi="Aptos"/>
          <w:color w:val="000000"/>
          <w:sz w:val="20"/>
          <w:szCs w:val="20"/>
        </w:rPr>
        <w:t xml:space="preserve">aplicó la metodología teniendo en cuenta la opinión de </w:t>
      </w:r>
      <w:r w:rsidR="005F5055" w:rsidRPr="000053FF">
        <w:rPr>
          <w:rFonts w:ascii="Aptos" w:hAnsi="Aptos"/>
          <w:color w:val="000000"/>
          <w:sz w:val="20"/>
          <w:szCs w:val="20"/>
        </w:rPr>
        <w:t>expertos.</w:t>
      </w:r>
      <w:r w:rsidR="00052FCC" w:rsidRPr="000053FF">
        <w:rPr>
          <w:rFonts w:ascii="Aptos" w:hAnsi="Aptos"/>
          <w:color w:val="000000"/>
          <w:sz w:val="20"/>
          <w:szCs w:val="20"/>
        </w:rPr>
        <w:t xml:space="preserve"> Así, los pesos de los criterios</w:t>
      </w:r>
      <w:r w:rsidR="0094145C" w:rsidRPr="000053FF">
        <w:rPr>
          <w:rFonts w:ascii="Aptos" w:hAnsi="Aptos"/>
          <w:color w:val="000000"/>
          <w:sz w:val="20"/>
          <w:szCs w:val="20"/>
        </w:rPr>
        <w:t xml:space="preserve"> fueron los siguientes</w:t>
      </w:r>
    </w:p>
    <w:p w14:paraId="112F8F4A" w14:textId="77777777" w:rsidR="009E4CD3" w:rsidRDefault="009E4CD3">
      <w:pPr>
        <w:rPr>
          <w:rFonts w:ascii="Aptos" w:hAnsi="Aptos"/>
          <w:color w:val="000000"/>
        </w:rPr>
      </w:pPr>
    </w:p>
    <w:p w14:paraId="665BD7FE" w14:textId="68665938" w:rsidR="001E68C1" w:rsidRDefault="00001FB0" w:rsidP="00B8572B">
      <w:pPr>
        <w:jc w:val="center"/>
        <w:rPr>
          <w:rFonts w:ascii="Aptos" w:hAnsi="Aptos"/>
          <w:color w:val="000000"/>
        </w:rPr>
      </w:pPr>
      <w:r w:rsidRPr="00C24E00">
        <w:rPr>
          <w:rFonts w:ascii="Aptos" w:hAnsi="Aptos"/>
          <w:noProof/>
        </w:rPr>
        <w:drawing>
          <wp:inline distT="0" distB="0" distL="0" distR="0" wp14:anchorId="3979A158" wp14:editId="05E0D0FD">
            <wp:extent cx="2954866" cy="138160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" r="13832"/>
                    <a:stretch/>
                  </pic:blipFill>
                  <pic:spPr bwMode="auto">
                    <a:xfrm>
                      <a:off x="0" y="0"/>
                      <a:ext cx="2964076" cy="13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6C532" w14:textId="77777777" w:rsidR="001E68C1" w:rsidRDefault="001E68C1">
      <w:pPr>
        <w:rPr>
          <w:rFonts w:ascii="Aptos" w:hAnsi="Aptos"/>
          <w:color w:val="000000"/>
        </w:rPr>
      </w:pPr>
    </w:p>
    <w:p w14:paraId="323C1CBB" w14:textId="3EA9330D" w:rsidR="000053FF" w:rsidRDefault="000053FF" w:rsidP="00362711">
      <w:pPr>
        <w:jc w:val="both"/>
        <w:rPr>
          <w:rFonts w:ascii="Aptos" w:hAnsi="Aptos"/>
          <w:color w:val="000000"/>
          <w:sz w:val="20"/>
          <w:szCs w:val="20"/>
        </w:rPr>
      </w:pPr>
      <w:r>
        <w:rPr>
          <w:rFonts w:ascii="Aptos" w:hAnsi="Aptos"/>
          <w:color w:val="000000"/>
          <w:sz w:val="20"/>
          <w:szCs w:val="20"/>
          <w:u w:val="single"/>
        </w:rPr>
        <w:t>Resultados</w:t>
      </w:r>
      <w:r w:rsidRPr="000053FF">
        <w:rPr>
          <w:rFonts w:ascii="Aptos" w:hAnsi="Aptos"/>
          <w:color w:val="000000"/>
          <w:sz w:val="20"/>
          <w:szCs w:val="20"/>
        </w:rPr>
        <w:t xml:space="preserve">: </w:t>
      </w:r>
      <w:r w:rsidR="00374565">
        <w:rPr>
          <w:rFonts w:ascii="Aptos" w:hAnsi="Aptos"/>
          <w:color w:val="000000"/>
          <w:sz w:val="20"/>
          <w:szCs w:val="20"/>
        </w:rPr>
        <w:t xml:space="preserve">Teniendo en cuenta los criterios y la ponderación de cada uno, </w:t>
      </w:r>
      <w:r w:rsidR="004130FD">
        <w:rPr>
          <w:rFonts w:ascii="Aptos" w:hAnsi="Aptos"/>
          <w:color w:val="000000"/>
          <w:sz w:val="20"/>
          <w:szCs w:val="20"/>
        </w:rPr>
        <w:t xml:space="preserve">el siguiente paso fue aplicar la metodología y obtener un </w:t>
      </w:r>
      <w:r w:rsidR="004130FD" w:rsidRPr="004745D7">
        <w:rPr>
          <w:rFonts w:ascii="Aptos" w:hAnsi="Aptos"/>
          <w:i/>
          <w:iCs/>
          <w:color w:val="000000"/>
          <w:sz w:val="20"/>
          <w:szCs w:val="20"/>
        </w:rPr>
        <w:t>score</w:t>
      </w:r>
      <w:r w:rsidR="004130FD">
        <w:rPr>
          <w:rFonts w:ascii="Aptos" w:hAnsi="Aptos"/>
          <w:color w:val="000000"/>
          <w:sz w:val="20"/>
          <w:szCs w:val="20"/>
        </w:rPr>
        <w:t>, el cual</w:t>
      </w:r>
      <w:r w:rsidR="004745D7">
        <w:rPr>
          <w:rFonts w:ascii="Aptos" w:hAnsi="Aptos"/>
          <w:color w:val="000000"/>
          <w:sz w:val="20"/>
          <w:szCs w:val="20"/>
        </w:rPr>
        <w:t xml:space="preserve"> fue normalizado para obtener un valor final entre cero y la unidad, el cual </w:t>
      </w:r>
      <w:r w:rsidR="00A764C3">
        <w:rPr>
          <w:rFonts w:ascii="Aptos" w:hAnsi="Aptos"/>
          <w:color w:val="000000"/>
          <w:sz w:val="20"/>
          <w:szCs w:val="20"/>
        </w:rPr>
        <w:t>finalmente sirvió para categorizar los casos en dos grupos en función a un umbral de aceptación (0.5)</w:t>
      </w:r>
    </w:p>
    <w:p w14:paraId="363E383C" w14:textId="77777777" w:rsidR="000053FF" w:rsidRDefault="000053FF" w:rsidP="00362711">
      <w:pPr>
        <w:jc w:val="both"/>
        <w:rPr>
          <w:rFonts w:ascii="Aptos" w:hAnsi="Aptos"/>
          <w:color w:val="000000"/>
          <w:sz w:val="20"/>
          <w:szCs w:val="20"/>
          <w:u w:val="single"/>
        </w:rPr>
      </w:pPr>
    </w:p>
    <w:p w14:paraId="2F33D844" w14:textId="61EBE84F" w:rsidR="005E12F5" w:rsidRPr="000053FF" w:rsidRDefault="009E4CD3" w:rsidP="00362711">
      <w:pPr>
        <w:jc w:val="both"/>
        <w:rPr>
          <w:rFonts w:ascii="Aptos" w:hAnsi="Aptos"/>
          <w:color w:val="000000"/>
          <w:sz w:val="20"/>
          <w:szCs w:val="20"/>
          <w:u w:val="single"/>
        </w:rPr>
      </w:pPr>
      <w:r w:rsidRPr="000053FF">
        <w:rPr>
          <w:rFonts w:ascii="Aptos" w:hAnsi="Aptos"/>
          <w:color w:val="000000"/>
          <w:sz w:val="20"/>
          <w:szCs w:val="20"/>
          <w:u w:val="single"/>
        </w:rPr>
        <w:t>Proceso de validación</w:t>
      </w:r>
      <w:r w:rsidRPr="000053FF">
        <w:rPr>
          <w:rFonts w:ascii="Aptos" w:hAnsi="Aptos"/>
          <w:color w:val="000000"/>
          <w:sz w:val="20"/>
          <w:szCs w:val="20"/>
        </w:rPr>
        <w:t>:</w:t>
      </w:r>
      <w:r w:rsidR="005F5055" w:rsidRPr="000053FF">
        <w:rPr>
          <w:rFonts w:ascii="Aptos" w:hAnsi="Aptos"/>
          <w:color w:val="000000"/>
          <w:sz w:val="20"/>
          <w:szCs w:val="20"/>
        </w:rPr>
        <w:t xml:space="preserve"> Finalmente, esta metodología fue expuesta a </w:t>
      </w:r>
      <w:r w:rsidR="009F51E2" w:rsidRPr="000053FF">
        <w:rPr>
          <w:rFonts w:ascii="Aptos" w:hAnsi="Aptos"/>
          <w:color w:val="000000"/>
          <w:sz w:val="20"/>
          <w:szCs w:val="20"/>
        </w:rPr>
        <w:t xml:space="preserve">los tomadores de decisión de la DFAI para su contraste y validación. Cabe resaltar que este proceso fue exitoso en la medida que los resultados </w:t>
      </w:r>
      <w:r w:rsidR="00052FCC" w:rsidRPr="000053FF">
        <w:rPr>
          <w:rFonts w:ascii="Aptos" w:hAnsi="Aptos"/>
          <w:color w:val="000000"/>
          <w:sz w:val="20"/>
          <w:szCs w:val="20"/>
        </w:rPr>
        <w:t xml:space="preserve">obtenidos de la aplicación de la metodología </w:t>
      </w:r>
      <w:r w:rsidR="009F51E2" w:rsidRPr="000053FF">
        <w:rPr>
          <w:rFonts w:ascii="Aptos" w:hAnsi="Aptos"/>
          <w:color w:val="000000"/>
          <w:sz w:val="20"/>
          <w:szCs w:val="20"/>
        </w:rPr>
        <w:t>coincidieron con lo esperado</w:t>
      </w:r>
      <w:r w:rsidR="00052FCC" w:rsidRPr="000053FF">
        <w:rPr>
          <w:rFonts w:ascii="Aptos" w:hAnsi="Aptos"/>
          <w:color w:val="000000"/>
          <w:sz w:val="20"/>
          <w:szCs w:val="20"/>
        </w:rPr>
        <w:t xml:space="preserve"> para determinadas casuísticas.</w:t>
      </w:r>
    </w:p>
    <w:sectPr w:rsidR="005E12F5" w:rsidRPr="000053FF">
      <w:headerReference w:type="default" r:id="rId9"/>
      <w:pgSz w:w="11900" w:h="16840"/>
      <w:pgMar w:top="851" w:right="1134" w:bottom="993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0B8D9" w14:textId="77777777" w:rsidR="00701650" w:rsidRDefault="00701650">
      <w:r>
        <w:separator/>
      </w:r>
    </w:p>
  </w:endnote>
  <w:endnote w:type="continuationSeparator" w:id="0">
    <w:p w14:paraId="2647A4EB" w14:textId="77777777" w:rsidR="00701650" w:rsidRDefault="0070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1980A" w14:textId="77777777" w:rsidR="00701650" w:rsidRDefault="00701650">
      <w:r>
        <w:separator/>
      </w:r>
    </w:p>
  </w:footnote>
  <w:footnote w:type="continuationSeparator" w:id="0">
    <w:p w14:paraId="59477501" w14:textId="77777777" w:rsidR="00701650" w:rsidRDefault="00701650">
      <w:r>
        <w:continuationSeparator/>
      </w:r>
    </w:p>
  </w:footnote>
  <w:footnote w:id="1">
    <w:p w14:paraId="55AD40BA" w14:textId="673FBAE6" w:rsidR="00B8572B" w:rsidRPr="00466B22" w:rsidRDefault="00B8572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466B22">
        <w:rPr>
          <w:lang w:val="en-US"/>
        </w:rPr>
        <w:t xml:space="preserve"> </w:t>
      </w:r>
      <w:r w:rsidR="00BE18D6" w:rsidRPr="00077BF7">
        <w:rPr>
          <w:rFonts w:ascii="Aptos" w:hAnsi="Aptos"/>
          <w:sz w:val="18"/>
          <w:szCs w:val="18"/>
          <w:lang w:val="en-US"/>
        </w:rPr>
        <w:t xml:space="preserve">Saaty, T. (1990) </w:t>
      </w:r>
      <w:r w:rsidR="00466B22" w:rsidRPr="00077BF7">
        <w:rPr>
          <w:rFonts w:ascii="Aptos" w:hAnsi="Aptos"/>
          <w:sz w:val="18"/>
          <w:szCs w:val="18"/>
          <w:lang w:val="en-US"/>
        </w:rPr>
        <w:t>“How to make a decision: The Analytic Hierarch</w:t>
      </w:r>
      <w:r w:rsidR="00224872" w:rsidRPr="00077BF7">
        <w:rPr>
          <w:rFonts w:ascii="Aptos" w:hAnsi="Aptos"/>
          <w:sz w:val="18"/>
          <w:szCs w:val="18"/>
          <w:lang w:val="en-US"/>
        </w:rPr>
        <w:t>y Process”</w:t>
      </w:r>
      <w:r w:rsidR="00BE18D6" w:rsidRPr="00077BF7">
        <w:rPr>
          <w:rFonts w:ascii="Aptos" w:hAnsi="Aptos"/>
          <w:sz w:val="18"/>
          <w:szCs w:val="18"/>
          <w:lang w:val="en-US"/>
        </w:rPr>
        <w:t>. European Journal of Operational Research</w:t>
      </w:r>
      <w:r w:rsidR="00077BF7" w:rsidRPr="00077BF7">
        <w:rPr>
          <w:rFonts w:ascii="Aptos" w:hAnsi="Aptos"/>
          <w:sz w:val="18"/>
          <w:szCs w:val="18"/>
          <w:lang w:val="en-US"/>
        </w:rPr>
        <w:t xml:space="preserve"> 48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C5483" w14:textId="77777777" w:rsidR="00A86ABC" w:rsidRDefault="00A86ABC">
    <w:pP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7BC"/>
    <w:multiLevelType w:val="multilevel"/>
    <w:tmpl w:val="7F8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B3B61"/>
    <w:multiLevelType w:val="multilevel"/>
    <w:tmpl w:val="192B3B6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4001E"/>
    <w:multiLevelType w:val="multilevel"/>
    <w:tmpl w:val="1C040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A607E8"/>
    <w:multiLevelType w:val="multilevel"/>
    <w:tmpl w:val="1EA60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383682"/>
    <w:multiLevelType w:val="multilevel"/>
    <w:tmpl w:val="20383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D847F5"/>
    <w:multiLevelType w:val="multilevel"/>
    <w:tmpl w:val="2BD847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4960C7"/>
    <w:multiLevelType w:val="multilevel"/>
    <w:tmpl w:val="404960C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3E4BB7"/>
    <w:multiLevelType w:val="multilevel"/>
    <w:tmpl w:val="C84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9162D"/>
    <w:multiLevelType w:val="multilevel"/>
    <w:tmpl w:val="5109162D"/>
    <w:lvl w:ilvl="0">
      <w:start w:val="1"/>
      <w:numFmt w:val="decimal"/>
      <w:lvlText w:val="%1."/>
      <w:lvlJc w:val="left"/>
      <w:pPr>
        <w:ind w:left="773" w:hanging="360"/>
      </w:pPr>
    </w:lvl>
    <w:lvl w:ilvl="1">
      <w:start w:val="1"/>
      <w:numFmt w:val="lowerLetter"/>
      <w:lvlText w:val="%2."/>
      <w:lvlJc w:val="left"/>
      <w:pPr>
        <w:ind w:left="1493" w:hanging="360"/>
      </w:p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num w:numId="1" w16cid:durableId="1245456875">
    <w:abstractNumId w:val="2"/>
  </w:num>
  <w:num w:numId="2" w16cid:durableId="1365592270">
    <w:abstractNumId w:val="1"/>
  </w:num>
  <w:num w:numId="3" w16cid:durableId="889001157">
    <w:abstractNumId w:val="3"/>
  </w:num>
  <w:num w:numId="4" w16cid:durableId="1181896126">
    <w:abstractNumId w:val="5"/>
  </w:num>
  <w:num w:numId="5" w16cid:durableId="1657302139">
    <w:abstractNumId w:val="6"/>
  </w:num>
  <w:num w:numId="6" w16cid:durableId="98910415">
    <w:abstractNumId w:val="8"/>
  </w:num>
  <w:num w:numId="7" w16cid:durableId="1335188409">
    <w:abstractNumId w:val="4"/>
  </w:num>
  <w:num w:numId="8" w16cid:durableId="2026974916">
    <w:abstractNumId w:val="0"/>
  </w:num>
  <w:num w:numId="9" w16cid:durableId="1336491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88"/>
    <w:rsid w:val="00001FB0"/>
    <w:rsid w:val="000053FF"/>
    <w:rsid w:val="000152A0"/>
    <w:rsid w:val="000312F5"/>
    <w:rsid w:val="000427D2"/>
    <w:rsid w:val="00052FCC"/>
    <w:rsid w:val="00077BF7"/>
    <w:rsid w:val="000F19E2"/>
    <w:rsid w:val="000F7B56"/>
    <w:rsid w:val="0011286D"/>
    <w:rsid w:val="00131B44"/>
    <w:rsid w:val="00161A67"/>
    <w:rsid w:val="001646CA"/>
    <w:rsid w:val="001817D6"/>
    <w:rsid w:val="001E68C1"/>
    <w:rsid w:val="00216448"/>
    <w:rsid w:val="00224872"/>
    <w:rsid w:val="00237B0A"/>
    <w:rsid w:val="00250AD7"/>
    <w:rsid w:val="00272ADE"/>
    <w:rsid w:val="0029584C"/>
    <w:rsid w:val="002B331A"/>
    <w:rsid w:val="00302167"/>
    <w:rsid w:val="003500BB"/>
    <w:rsid w:val="00362711"/>
    <w:rsid w:val="003742B2"/>
    <w:rsid w:val="00374565"/>
    <w:rsid w:val="00397E14"/>
    <w:rsid w:val="004130FD"/>
    <w:rsid w:val="00420DFD"/>
    <w:rsid w:val="004520F2"/>
    <w:rsid w:val="0046227E"/>
    <w:rsid w:val="00466B22"/>
    <w:rsid w:val="004745D7"/>
    <w:rsid w:val="004866DE"/>
    <w:rsid w:val="004C1D07"/>
    <w:rsid w:val="004D2BBA"/>
    <w:rsid w:val="004F7993"/>
    <w:rsid w:val="005124A8"/>
    <w:rsid w:val="00512DA4"/>
    <w:rsid w:val="0051461F"/>
    <w:rsid w:val="00524DF2"/>
    <w:rsid w:val="0053091F"/>
    <w:rsid w:val="005355ED"/>
    <w:rsid w:val="005A1127"/>
    <w:rsid w:val="005D39E1"/>
    <w:rsid w:val="005E12F5"/>
    <w:rsid w:val="005F5055"/>
    <w:rsid w:val="00606F4A"/>
    <w:rsid w:val="00615BFD"/>
    <w:rsid w:val="00617017"/>
    <w:rsid w:val="00685A44"/>
    <w:rsid w:val="006A098E"/>
    <w:rsid w:val="006A3020"/>
    <w:rsid w:val="006B767D"/>
    <w:rsid w:val="006E4B4E"/>
    <w:rsid w:val="00701650"/>
    <w:rsid w:val="0070269A"/>
    <w:rsid w:val="00724BB4"/>
    <w:rsid w:val="00741BB0"/>
    <w:rsid w:val="00750338"/>
    <w:rsid w:val="007B7C3B"/>
    <w:rsid w:val="0082551F"/>
    <w:rsid w:val="00832508"/>
    <w:rsid w:val="00842188"/>
    <w:rsid w:val="00846601"/>
    <w:rsid w:val="0089198F"/>
    <w:rsid w:val="0089224F"/>
    <w:rsid w:val="008A3934"/>
    <w:rsid w:val="008B3F1D"/>
    <w:rsid w:val="009018A5"/>
    <w:rsid w:val="00907952"/>
    <w:rsid w:val="00911AAA"/>
    <w:rsid w:val="009145ED"/>
    <w:rsid w:val="0094145C"/>
    <w:rsid w:val="009770C8"/>
    <w:rsid w:val="00980926"/>
    <w:rsid w:val="009E3CD7"/>
    <w:rsid w:val="009E4CD3"/>
    <w:rsid w:val="009F51E2"/>
    <w:rsid w:val="00A344CF"/>
    <w:rsid w:val="00A46E63"/>
    <w:rsid w:val="00A533AD"/>
    <w:rsid w:val="00A764C3"/>
    <w:rsid w:val="00A86ABC"/>
    <w:rsid w:val="00A920A7"/>
    <w:rsid w:val="00AB307E"/>
    <w:rsid w:val="00AB3ECC"/>
    <w:rsid w:val="00AB7A3A"/>
    <w:rsid w:val="00AC38B2"/>
    <w:rsid w:val="00AD36F6"/>
    <w:rsid w:val="00AD4817"/>
    <w:rsid w:val="00AE2FCF"/>
    <w:rsid w:val="00B32BF8"/>
    <w:rsid w:val="00B62E5B"/>
    <w:rsid w:val="00B75E3C"/>
    <w:rsid w:val="00B8572B"/>
    <w:rsid w:val="00BA2D18"/>
    <w:rsid w:val="00BC0BD6"/>
    <w:rsid w:val="00BE18D6"/>
    <w:rsid w:val="00BF1B16"/>
    <w:rsid w:val="00C06453"/>
    <w:rsid w:val="00C06DF4"/>
    <w:rsid w:val="00C24E00"/>
    <w:rsid w:val="00C26169"/>
    <w:rsid w:val="00CA0657"/>
    <w:rsid w:val="00CA4AAB"/>
    <w:rsid w:val="00CA4F46"/>
    <w:rsid w:val="00CE24CB"/>
    <w:rsid w:val="00DA2620"/>
    <w:rsid w:val="00DE0A14"/>
    <w:rsid w:val="00E26417"/>
    <w:rsid w:val="00E3700C"/>
    <w:rsid w:val="00E948EB"/>
    <w:rsid w:val="00EC3373"/>
    <w:rsid w:val="00F27C46"/>
    <w:rsid w:val="00F544BB"/>
    <w:rsid w:val="00FB175F"/>
    <w:rsid w:val="00FB7E85"/>
    <w:rsid w:val="00FE10F8"/>
    <w:rsid w:val="00FE1513"/>
    <w:rsid w:val="519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779E0"/>
  <w15:docId w15:val="{8FFE8C15-3B2B-4722-9F57-A13E9888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uiPriority w:val="9"/>
    <w:qFormat/>
    <w:pPr>
      <w:spacing w:line="246" w:lineRule="auto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1168"/>
      <w:outlineLvl w:val="1"/>
    </w:pPr>
    <w:rPr>
      <w:b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1168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qFormat/>
    <w:tblPr>
      <w:tblCellMar>
        <w:left w:w="108" w:type="dxa"/>
        <w:right w:w="108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A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AAB"/>
    <w:rPr>
      <w:rFonts w:ascii="Segoe UI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CA4A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572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572B"/>
    <w:rPr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85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6zDPXKaLJL7vUO6RVbkapJG8Nw==">CgMxLjAyCGguZ2pkZ3hzMg5oLnMwbGdyM2dhYmEwZDgAciExdjJITDRGLXU2NjFDSWpxYlFNQWFMRkVxNHd5bmQzdGc=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Rojas Cuesta</dc:creator>
  <cp:lastModifiedBy>Luis Felipe Palacios Sánchez</cp:lastModifiedBy>
  <cp:revision>55</cp:revision>
  <dcterms:created xsi:type="dcterms:W3CDTF">2025-01-07T21:42:00Z</dcterms:created>
  <dcterms:modified xsi:type="dcterms:W3CDTF">2025-01-08T03:50:00Z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3082-12.2.0.17562</vt:lpwstr>
  </property>
  <property fmtid="{D5CDD505-2E9C-101B-9397-08002B2CF9AE}" pid="3" name="ICV">
    <vt:lpwstr>AE531D6FAB984FF8BA51321263F26780_12</vt:lpwstr>
  </property>
</Properties>
</file>