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b/>
          <w:bCs/>
          <w:sz w:val="32"/>
          <w:szCs w:val="32"/>
        </w:rPr>
      </w:pPr>
      <w:r>
        <w:rPr>
          <w:rFonts w:hint="default" w:ascii="Times New Roman" w:hAnsi="Times New Roman" w:cs="Times New Roman"/>
          <w:b/>
          <w:bCs/>
          <w:sz w:val="32"/>
          <w:szCs w:val="32"/>
        </w:rPr>
        <w:t>A Questão Agrária</w:t>
      </w:r>
    </w:p>
    <w:p>
      <w:pPr>
        <w:bidi w:val="0"/>
        <w:jc w:val="center"/>
        <w:rPr>
          <w:rFonts w:hint="default" w:ascii="Times New Roman" w:hAnsi="Times New Roman" w:cs="Times New Roman"/>
          <w:b/>
          <w:bCs/>
          <w:sz w:val="32"/>
          <w:szCs w:val="32"/>
        </w:rPr>
      </w:pPr>
      <w:r>
        <w:rPr>
          <w:rFonts w:hint="default" w:ascii="Times New Roman" w:hAnsi="Times New Roman" w:cs="Times New Roman"/>
          <w:b/>
          <w:bCs/>
          <w:sz w:val="32"/>
          <w:szCs w:val="32"/>
        </w:rPr>
        <w:t>implicações sobre o planejamento urbano e rural</w:t>
      </w:r>
    </w:p>
    <w:p>
      <w:pPr>
        <w:pStyle w:val="25"/>
      </w:pPr>
      <w:r>
        <w:t>Luiz F. P. Droubi</w:t>
      </w:r>
    </w:p>
    <w:p>
      <w:pPr>
        <w:pStyle w:val="15"/>
      </w:pPr>
      <w:r>
        <w:t>15/07/2019</w:t>
      </w:r>
    </w:p>
    <w:p>
      <w:pPr>
        <w:pStyle w:val="2"/>
        <w:bidi w:val="0"/>
        <w:rPr>
          <w:rFonts w:hint="default" w:ascii="Times New Roman" w:hAnsi="Times New Roman" w:cs="Times New Roman"/>
          <w:color w:val="auto"/>
        </w:rPr>
      </w:pPr>
      <w:bookmarkStart w:id="0" w:name="resumo"/>
      <w:r>
        <w:rPr>
          <w:rFonts w:hint="default" w:ascii="Times New Roman" w:hAnsi="Times New Roman" w:cs="Times New Roman"/>
          <w:color w:val="auto"/>
        </w:rPr>
        <w:t>RESUMO</w:t>
      </w:r>
      <w:bookmarkEnd w:id="0"/>
    </w:p>
    <w:p>
      <w:pPr>
        <w:pStyle w:val="3"/>
        <w:rPr>
          <w:rFonts w:hint="default"/>
        </w:rPr>
      </w:pP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Este trabalho foi desenvolvido para obtenção de conceito na Disciplina TGT4100181 do Programa de Pós-Graduação em Engenharia de Transportes e Gestão Territorial da UFSC – Cadastro Técnico Multifinalitário. Teve como motivação as três condições, elencadas por Pereira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"ref-questaoagraria"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1987</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como necessárias à implantação da reforma agrária, quais sejam: a. que haja no país uma alta concentração de renda; b. que haja verdadeira miséria rural no País e; c. que haja relação entre a reforma agrária e o desenvolvimento nacional. Pra nós claro está que as condições a. e b. estão desde há muito tempo intocadas no Brasil, ou seja, estão presentes desde a origem. Coube-nos então, investigar se há verdadeira relação, ainda, entre a reforma e o desenvolvimento e ainda, qual reforma deverá ter lugar no atual contexto econômico, social e político, de maneira que não haja retrocesso no desenvolvimento econômico do país.</w:t>
      </w:r>
    </w:p>
    <w:p>
      <w:pPr>
        <w:pStyle w:val="2"/>
        <w:numPr>
          <w:ilvl w:val="0"/>
          <w:numId w:val="1"/>
        </w:numPr>
        <w:bidi w:val="0"/>
        <w:rPr>
          <w:rFonts w:hint="default" w:ascii="Times New Roman" w:hAnsi="Times New Roman" w:cs="Times New Roman"/>
          <w:color w:val="auto"/>
          <w:sz w:val="24"/>
          <w:szCs w:val="24"/>
        </w:rPr>
      </w:pPr>
      <w:bookmarkStart w:id="1" w:name="introducao"/>
      <w:r>
        <w:rPr>
          <w:rFonts w:hint="default" w:ascii="Times New Roman" w:hAnsi="Times New Roman" w:cs="Times New Roman"/>
          <w:color w:val="auto"/>
          <w:sz w:val="24"/>
          <w:szCs w:val="24"/>
        </w:rPr>
        <w:t>INTRODUÇÃO</w:t>
      </w:r>
      <w:bookmarkEnd w:id="1"/>
    </w:p>
    <w:p>
      <w:pPr>
        <w:spacing w:after="200" w:line="240" w:lineRule="auto"/>
        <w:ind w:left="2880" w:firstLine="0"/>
        <w:jc w:val="both"/>
        <w:rPr>
          <w:rFonts w:ascii="Times New Roman" w:hAnsi="Times New Roman" w:eastAsia="Times New Roman" w:cs="Times New Roman"/>
          <w:sz w:val="20"/>
          <w:szCs w:val="20"/>
          <w:rtl w:val="0"/>
          <w:lang w:val="zh-CN"/>
        </w:rPr>
      </w:pPr>
      <w:r>
        <w:rPr>
          <w:rFonts w:ascii="Times New Roman" w:hAnsi="Times New Roman" w:eastAsia="Times New Roman" w:cs="Times New Roman"/>
          <w:sz w:val="20"/>
          <w:szCs w:val="20"/>
          <w:rtl w:val="0"/>
          <w:lang w:val="zh-CN"/>
        </w:rPr>
        <w:t>Do ponto de vista social, todos os fatores se resumem em um “recurso” elementar: o homem. Logo, não é possível seguir conceptualmente o processo de industrialização se não sabemos como o homem aplicava antes o seu tempo de trabalho, como o aplica depois, o que ocorre quando passa de um modo de produzir a outra e em que condições realiza essa passagem.[…] Considerando que na estrutura da economia que precede a industrialização quase toda a população está na “agricultura”, é preciso estudar detidamente a organização deste setor. Em outras palavras, se o problema da “agricultura” não foi entendido, tampouco será possível compreender o problema da “indústria”, ou manufatura, nem o papel que os serviços desempenham. Falando de modo sucinto, a “manufatura” e os serviços são novas formas de aplicação de parte do tempo de trabalho da população que antes estava na “agricultura”. Mas, por sua vez, a própria “agricultura” se reorganiza quando a tran</w:t>
      </w:r>
      <w:r>
        <w:rPr>
          <w:rFonts w:hint="default" w:ascii="Times New Roman" w:hAnsi="Times New Roman" w:eastAsia="Times New Roman" w:cs="Times New Roman"/>
          <w:sz w:val="20"/>
          <w:szCs w:val="20"/>
          <w:rtl w:val="0"/>
          <w:lang w:val="pt-BR"/>
        </w:rPr>
        <w:t>s</w:t>
      </w:r>
      <w:r>
        <w:rPr>
          <w:rFonts w:ascii="Times New Roman" w:hAnsi="Times New Roman" w:eastAsia="Times New Roman" w:cs="Times New Roman"/>
          <w:sz w:val="20"/>
          <w:szCs w:val="20"/>
          <w:rtl w:val="0"/>
          <w:lang w:val="zh-CN"/>
        </w:rPr>
        <w:t xml:space="preserve">ferência ocorre.(RANGEL, </w:t>
      </w:r>
      <w:r>
        <w:rPr>
          <w:rFonts w:ascii="Times New Roman" w:hAnsi="Times New Roman" w:eastAsia="Times New Roman" w:cs="Times New Roman"/>
          <w:sz w:val="20"/>
          <w:szCs w:val="20"/>
          <w:rtl w:val="0"/>
          <w:lang w:val="zh-CN"/>
        </w:rPr>
        <w:fldChar w:fldCharType="begin"/>
      </w:r>
      <w:r>
        <w:rPr>
          <w:rFonts w:ascii="Times New Roman" w:hAnsi="Times New Roman" w:eastAsia="Times New Roman" w:cs="Times New Roman"/>
          <w:sz w:val="20"/>
          <w:szCs w:val="20"/>
          <w:rtl w:val="0"/>
          <w:lang w:val="zh-CN"/>
        </w:rPr>
        <w:instrText xml:space="preserve"> HYPERLINK \l "ref-rangel1954" \h </w:instrText>
      </w:r>
      <w:r>
        <w:rPr>
          <w:rFonts w:ascii="Times New Roman" w:hAnsi="Times New Roman" w:eastAsia="Times New Roman" w:cs="Times New Roman"/>
          <w:sz w:val="20"/>
          <w:szCs w:val="20"/>
          <w:rtl w:val="0"/>
          <w:lang w:val="zh-CN"/>
        </w:rPr>
        <w:fldChar w:fldCharType="separate"/>
      </w:r>
      <w:r>
        <w:rPr>
          <w:rFonts w:ascii="Times New Roman" w:hAnsi="Times New Roman" w:eastAsia="Times New Roman" w:cs="Times New Roman"/>
          <w:sz w:val="20"/>
          <w:szCs w:val="20"/>
          <w:rtl w:val="0"/>
          <w:lang w:val="zh-CN"/>
        </w:rPr>
        <w:t>2012</w:t>
      </w:r>
      <w:r>
        <w:rPr>
          <w:rFonts w:ascii="Times New Roman" w:hAnsi="Times New Roman" w:eastAsia="Times New Roman" w:cs="Times New Roman"/>
          <w:sz w:val="20"/>
          <w:szCs w:val="20"/>
          <w:rtl w:val="0"/>
          <w:lang w:val="zh-CN"/>
        </w:rPr>
        <w:fldChar w:fldCharType="end"/>
      </w:r>
      <w:r>
        <w:rPr>
          <w:rFonts w:ascii="Times New Roman" w:hAnsi="Times New Roman" w:eastAsia="Times New Roman" w:cs="Times New Roman"/>
          <w:sz w:val="20"/>
          <w:szCs w:val="20"/>
          <w:rtl w:val="0"/>
          <w:lang w:val="zh-CN"/>
        </w:rPr>
        <w:fldChar w:fldCharType="begin"/>
      </w:r>
      <w:r>
        <w:rPr>
          <w:rFonts w:ascii="Times New Roman" w:hAnsi="Times New Roman" w:eastAsia="Times New Roman" w:cs="Times New Roman"/>
          <w:sz w:val="20"/>
          <w:szCs w:val="20"/>
          <w:rtl w:val="0"/>
          <w:lang w:val="zh-CN"/>
        </w:rPr>
        <w:instrText xml:space="preserve"> HYPERLINK \l "ref-rangel1954" \h </w:instrText>
      </w:r>
      <w:r>
        <w:rPr>
          <w:rFonts w:ascii="Times New Roman" w:hAnsi="Times New Roman" w:eastAsia="Times New Roman" w:cs="Times New Roman"/>
          <w:sz w:val="20"/>
          <w:szCs w:val="20"/>
          <w:rtl w:val="0"/>
          <w:lang w:val="zh-CN"/>
        </w:rPr>
        <w:fldChar w:fldCharType="separate"/>
      </w:r>
      <w:r>
        <w:rPr>
          <w:rFonts w:ascii="Times New Roman" w:hAnsi="Times New Roman" w:eastAsia="Times New Roman" w:cs="Times New Roman"/>
          <w:sz w:val="20"/>
          <w:szCs w:val="20"/>
          <w:rtl w:val="0"/>
          <w:lang w:val="zh-CN"/>
        </w:rPr>
        <w:t>a</w:t>
      </w:r>
      <w:r>
        <w:rPr>
          <w:rFonts w:ascii="Times New Roman" w:hAnsi="Times New Roman" w:eastAsia="Times New Roman" w:cs="Times New Roman"/>
          <w:sz w:val="20"/>
          <w:szCs w:val="20"/>
          <w:rtl w:val="0"/>
          <w:lang w:val="zh-CN"/>
        </w:rPr>
        <w:fldChar w:fldCharType="end"/>
      </w:r>
      <w:r>
        <w:rPr>
          <w:rFonts w:ascii="Times New Roman" w:hAnsi="Times New Roman" w:eastAsia="Times New Roman" w:cs="Times New Roman"/>
          <w:sz w:val="20"/>
          <w:szCs w:val="20"/>
          <w:rtl w:val="0"/>
          <w:lang w:val="zh-CN"/>
        </w:rPr>
        <w:t>, p. 89)</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 xml:space="preserve">O desenvolvimento do capitalismo brasileiro no século XX se deu pela chamada “via prussiana” ou junker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"ref-rangel1988"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"ref-rangel1988"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b</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 155), que é um tipo de reforma agrária que consiste na</w:t>
      </w:r>
      <w:r>
        <w:rPr>
          <w:rFonts w:hint="default" w:ascii="Times New Roman" w:hAnsi="Times New Roman" w:eastAsia="Times New Roman" w:cs="Times New Roman"/>
          <w:sz w:val="24"/>
          <w:szCs w:val="24"/>
          <w:rtl w:val="0"/>
          <w:lang w:val="pt-BR"/>
        </w:rPr>
        <w:t xml:space="preserve"> simples</w:t>
      </w:r>
      <w:r>
        <w:rPr>
          <w:rFonts w:ascii="Times New Roman" w:hAnsi="Times New Roman" w:eastAsia="Times New Roman" w:cs="Times New Roman"/>
          <w:sz w:val="24"/>
          <w:szCs w:val="24"/>
          <w:rtl w:val="0"/>
          <w:lang w:val="zh-CN"/>
        </w:rPr>
        <w:t xml:space="preserve"> substituição do latifúndio feudal pelo latifúndio capitalista. Este tipo de desenvolvimento tem como característica se dar sem a execução prévia da reforma agrária</w:t>
      </w:r>
      <w:r>
        <w:rPr>
          <w:rFonts w:hint="default" w:ascii="Times New Roman" w:hAnsi="Times New Roman" w:eastAsia="Times New Roman" w:cs="Times New Roman"/>
          <w:sz w:val="24"/>
          <w:szCs w:val="24"/>
          <w:rtl w:val="0"/>
          <w:lang w:val="pt-BR"/>
        </w:rPr>
        <w:t xml:space="preserve"> no sentido clássico, </w:t>
      </w:r>
      <w:r>
        <w:rPr>
          <w:rFonts w:hint="default" w:ascii="Times New Roman" w:hAnsi="Times New Roman" w:eastAsia="Times New Roman" w:cs="Times New Roman"/>
          <w:i/>
          <w:iCs/>
          <w:sz w:val="24"/>
          <w:szCs w:val="24"/>
          <w:rtl w:val="0"/>
          <w:lang w:val="pt-BR"/>
        </w:rPr>
        <w:t>i.e.</w:t>
      </w:r>
      <w:r>
        <w:rPr>
          <w:rFonts w:ascii="Times New Roman" w:hAnsi="Times New Roman" w:eastAsia="Times New Roman" w:cs="Times New Roman"/>
          <w:sz w:val="24"/>
          <w:szCs w:val="24"/>
          <w:rtl w:val="0"/>
          <w:lang w:val="zh-CN"/>
        </w:rPr>
        <w:t xml:space="preserve"> no sentido da distribuição dos latifúndios em pequenas propriedades, </w:t>
      </w:r>
      <w:r>
        <w:rPr>
          <w:rFonts w:hint="default" w:ascii="Times New Roman" w:hAnsi="Times New Roman" w:eastAsia="Times New Roman" w:cs="Times New Roman"/>
          <w:sz w:val="24"/>
          <w:szCs w:val="24"/>
          <w:rtl w:val="0"/>
          <w:lang w:val="pt-BR"/>
        </w:rPr>
        <w:t>a chamada</w:t>
      </w:r>
      <w:r>
        <w:rPr>
          <w:rFonts w:ascii="Times New Roman" w:hAnsi="Times New Roman" w:eastAsia="Times New Roman" w:cs="Times New Roman"/>
          <w:sz w:val="24"/>
          <w:szCs w:val="24"/>
          <w:rtl w:val="0"/>
          <w:lang w:val="zh-CN"/>
        </w:rPr>
        <w:t xml:space="preserve"> via clássica ou democrática.</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 xml:space="preserve">Apesar de permitir imprimir um “impulso extraordinário e energético” à industrialização, a via prussiana “promove uma distribuição muito desigual da renda”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"ref-rangel1988"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"ref-rangel1988"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b</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 155). característica talvez mais perniciosa do desenvolvimento capitalista por esta via se dá pela formação de um “exército industrial de reserva” demasiado grande, ou seja, um aumento da população urbana desproporcional à necessidade de mão-de-obra necessária nas indústrias do capitalismo nascente nas cidades. O resultado é o crescimento acelerado e desordenado das cidades, com a inevitável formação dos cortiços e favelas para acomodar a parte mais carente da população que, expulsa do campo, vai se aglomerar nos grandes centros urbanos em busca da sua sobrevivência.</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 xml:space="preserve">Dados </w:t>
      </w:r>
      <w:r>
        <w:rPr>
          <w:rFonts w:hint="default" w:ascii="Times New Roman" w:hAnsi="Times New Roman" w:eastAsia="Times New Roman" w:cs="Times New Roman"/>
          <w:sz w:val="24"/>
          <w:szCs w:val="24"/>
          <w:rtl w:val="0"/>
          <w:lang w:val="pt-BR"/>
        </w:rPr>
        <w:t xml:space="preserve">de porcentagem de população urbana em diversos países </w:t>
      </w:r>
      <w:r>
        <w:rPr>
          <w:rFonts w:ascii="Times New Roman" w:hAnsi="Times New Roman" w:eastAsia="Times New Roman" w:cs="Times New Roman"/>
          <w:sz w:val="24"/>
          <w:szCs w:val="24"/>
          <w:rtl w:val="0"/>
          <w:lang w:val="zh-CN"/>
        </w:rPr>
        <w:t xml:space="preserve">compilados pela ONU foram organizados na tabela </w:t>
      </w:r>
      <w:r>
        <w:rPr>
          <w:rFonts w:hint="default" w:ascii="Times New Roman" w:hAnsi="Times New Roman" w:eastAsia="Times New Roman" w:cs="Times New Roman"/>
          <w:sz w:val="24"/>
          <w:szCs w:val="24"/>
          <w:rtl w:val="0"/>
          <w:lang w:val="pt-BR"/>
        </w:rPr>
        <w:t>1</w:t>
      </w:r>
      <w:r>
        <w:rPr>
          <w:rFonts w:ascii="Times New Roman" w:hAnsi="Times New Roman" w:eastAsia="Times New Roman" w:cs="Times New Roman"/>
          <w:sz w:val="24"/>
          <w:szCs w:val="24"/>
          <w:rtl w:val="0"/>
          <w:lang w:val="zh-CN"/>
        </w:rPr>
        <w:t xml:space="preserve"> com o intuito de demonstrar </w:t>
      </w:r>
      <w:r>
        <w:rPr>
          <w:rFonts w:hint="default" w:ascii="Times New Roman" w:hAnsi="Times New Roman" w:eastAsia="Times New Roman" w:cs="Times New Roman"/>
          <w:sz w:val="24"/>
          <w:szCs w:val="24"/>
          <w:rtl w:val="0"/>
          <w:lang w:val="pt-BR"/>
        </w:rPr>
        <w:t>a evolução e o atual tamanho</w:t>
      </w:r>
      <w:r>
        <w:rPr>
          <w:rFonts w:ascii="Times New Roman" w:hAnsi="Times New Roman" w:eastAsia="Times New Roman" w:cs="Times New Roman"/>
          <w:sz w:val="24"/>
          <w:szCs w:val="24"/>
          <w:rtl w:val="0"/>
          <w:lang w:val="zh-CN"/>
        </w:rPr>
        <w:t xml:space="preserve"> deste problema.</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 xml:space="preserve">Em meados dos anos 60, apenas 46,1% da população brasileira era urbana, uma proporção bem menor do que a dos países do então </w:t>
      </w:r>
      <w:r>
        <w:rPr>
          <w:rFonts w:ascii="Times New Roman" w:hAnsi="Times New Roman" w:eastAsia="Times New Roman" w:cs="Times New Roman"/>
          <w:i/>
          <w:iCs/>
          <w:sz w:val="24"/>
          <w:szCs w:val="24"/>
          <w:rtl w:val="0"/>
          <w:lang w:val="zh-CN"/>
        </w:rPr>
        <w:t>primeiro mundo</w:t>
      </w:r>
      <w:r>
        <w:rPr>
          <w:rFonts w:ascii="Times New Roman" w:hAnsi="Times New Roman" w:eastAsia="Times New Roman" w:cs="Times New Roman"/>
          <w:sz w:val="24"/>
          <w:szCs w:val="24"/>
          <w:rtl w:val="0"/>
          <w:lang w:val="zh-CN"/>
        </w:rPr>
        <w:t xml:space="preserve"> (EUA e Europa Ocidental), hoje ditos desenvolvidos, que girava então em torno dos 70% da população.</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Em apenas 10 anos, já em meados da década de 70, este número sofria um aumento vertiginoso de quase 10 pontos percentuais, com 55,9% da população</w:t>
      </w:r>
      <w:r>
        <w:rPr>
          <w:rFonts w:hint="default" w:ascii="Times New Roman" w:hAnsi="Times New Roman" w:eastAsia="Times New Roman" w:cs="Times New Roman"/>
          <w:sz w:val="24"/>
          <w:szCs w:val="24"/>
          <w:rtl w:val="0"/>
          <w:lang w:val="pt-BR"/>
        </w:rPr>
        <w:t xml:space="preserve"> brasileira habitando as cidades</w:t>
      </w:r>
      <w:r>
        <w:rPr>
          <w:rFonts w:ascii="Times New Roman" w:hAnsi="Times New Roman" w:eastAsia="Times New Roman" w:cs="Times New Roman"/>
          <w:sz w:val="24"/>
          <w:szCs w:val="24"/>
          <w:rtl w:val="0"/>
          <w:lang w:val="zh-CN"/>
        </w:rPr>
        <w:t>. A população urbana brasileira equiparava-se à da Europa Oriental.</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Já na década de 80 a população urbana no Brasil</w:t>
      </w:r>
      <w:r>
        <w:rPr>
          <w:rFonts w:hint="default" w:ascii="Times New Roman" w:hAnsi="Times New Roman" w:eastAsia="Times New Roman" w:cs="Times New Roman"/>
          <w:sz w:val="24"/>
          <w:szCs w:val="24"/>
          <w:rtl w:val="0"/>
          <w:lang w:val="pt-BR"/>
        </w:rPr>
        <w:t>, em termos proporcionais,</w:t>
      </w:r>
      <w:r>
        <w:rPr>
          <w:rFonts w:ascii="Times New Roman" w:hAnsi="Times New Roman" w:eastAsia="Times New Roman" w:cs="Times New Roman"/>
          <w:sz w:val="24"/>
          <w:szCs w:val="24"/>
          <w:rtl w:val="0"/>
          <w:lang w:val="zh-CN"/>
        </w:rPr>
        <w:t xml:space="preserve"> ultrapassaria a da Europa Oriental, chegando à valores próximos da média para o continente europeu como um todo (ocidental e oriental), enquanto a população urbana no mundo desenvolvido se estagnava.</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Chegado os anos 90, a população urbana brasileira atingiu notáveis 73,9% da população brasileira, número equiparado ao da população urbana do mundo desenvolvido (74% na Europa O</w:t>
      </w:r>
      <w:r>
        <w:rPr>
          <w:rFonts w:hint="default" w:ascii="Times New Roman" w:hAnsi="Times New Roman" w:eastAsia="Times New Roman" w:cs="Times New Roman"/>
          <w:sz w:val="24"/>
          <w:szCs w:val="24"/>
          <w:rtl w:val="0"/>
          <w:lang w:val="pt-BR"/>
        </w:rPr>
        <w:t>ciden</w:t>
      </w:r>
      <w:r>
        <w:rPr>
          <w:rFonts w:ascii="Times New Roman" w:hAnsi="Times New Roman" w:eastAsia="Times New Roman" w:cs="Times New Roman"/>
          <w:sz w:val="24"/>
          <w:szCs w:val="24"/>
          <w:rtl w:val="0"/>
          <w:lang w:val="zh-CN"/>
        </w:rPr>
        <w:t>tal).</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Em meados dos anos 2000, já então no século atual, ousamos ultrapassar, em proporção, a população urbana da Europa O</w:t>
      </w:r>
      <w:r>
        <w:rPr>
          <w:rFonts w:hint="default" w:ascii="Times New Roman" w:hAnsi="Times New Roman" w:eastAsia="Times New Roman" w:cs="Times New Roman"/>
          <w:sz w:val="24"/>
          <w:szCs w:val="24"/>
          <w:rtl w:val="0"/>
          <w:lang w:val="pt-BR"/>
        </w:rPr>
        <w:t>cidental</w:t>
      </w:r>
      <w:r>
        <w:rPr>
          <w:rFonts w:ascii="Times New Roman" w:hAnsi="Times New Roman" w:eastAsia="Times New Roman" w:cs="Times New Roman"/>
          <w:sz w:val="24"/>
          <w:szCs w:val="24"/>
          <w:rtl w:val="0"/>
          <w:lang w:val="zh-CN"/>
        </w:rPr>
        <w:t xml:space="preserve"> e a dos EUA, chegando ao último dado de 2015, com 85,8% da população brasileira vivendo nas cidades.</w:t>
      </w:r>
    </w:p>
    <w:p>
      <w:pPr>
        <w:spacing w:before="0" w:after="0" w:line="360" w:lineRule="auto"/>
        <w:ind w:firstLine="708"/>
        <w:jc w:val="center"/>
        <w:rPr>
          <w:rFonts w:hint="default" w:ascii="Times New Roman" w:hAnsi="Times New Roman" w:eastAsia="Times New Roman" w:cs="Times New Roman"/>
          <w:sz w:val="24"/>
          <w:szCs w:val="24"/>
          <w:rtl w:val="0"/>
          <w:lang w:val="pt-BR"/>
        </w:rPr>
      </w:pPr>
      <w:r>
        <w:rPr>
          <w:rFonts w:hint="default" w:ascii="Times New Roman" w:hAnsi="Times New Roman" w:eastAsia="Times New Roman" w:cs="Times New Roman"/>
          <w:sz w:val="24"/>
          <w:szCs w:val="24"/>
          <w:rtl w:val="0"/>
          <w:lang w:val="pt-BR"/>
        </w:rPr>
        <w:t>Tabela 1: População Urbana (%). Fonte: Nações Unidas.</w:t>
      </w:r>
    </w:p>
    <w:tbl>
      <w:tblPr>
        <w:tblStyle w:val="22"/>
        <w:tblW w:w="8120" w:type="dxa"/>
        <w:jc w:val="center"/>
        <w:tblInd w:w="-560" w:type="dxa"/>
        <w:tblLayout w:type="fixed"/>
        <w:tblCellMar>
          <w:top w:w="0" w:type="dxa"/>
          <w:left w:w="10" w:type="dxa"/>
          <w:bottom w:w="0" w:type="dxa"/>
          <w:right w:w="10" w:type="dxa"/>
        </w:tblCellMar>
      </w:tblPr>
      <w:tblGrid>
        <w:gridCol w:w="3263"/>
        <w:gridCol w:w="788"/>
        <w:gridCol w:w="787"/>
        <w:gridCol w:w="750"/>
        <w:gridCol w:w="882"/>
        <w:gridCol w:w="956"/>
        <w:gridCol w:w="694"/>
      </w:tblGrid>
      <w:tr>
        <w:tblPrEx>
          <w:tblLayout w:type="fixed"/>
          <w:tblCellMar>
            <w:top w:w="0" w:type="dxa"/>
            <w:left w:w="10" w:type="dxa"/>
            <w:bottom w:w="0" w:type="dxa"/>
            <w:right w:w="10" w:type="dxa"/>
          </w:tblCellMar>
        </w:tblPrEx>
        <w:trPr>
          <w:cantSplit/>
          <w:trHeight w:val="146" w:hRule="atLeast"/>
          <w:tblHeader/>
          <w:jc w:val="center"/>
        </w:trPr>
        <w:tc>
          <w:tcPr>
            <w:tcW w:w="3263" w:type="dxa"/>
            <w:tcBorders>
              <w:top w:val="single" w:color="000000" w:sz="16" w:space="0"/>
              <w:bottom w:val="single" w:color="000000" w:sz="8" w:space="0"/>
            </w:tcBorders>
            <w:shd w:val="clear" w:color="auto" w:fill="FFFFFF"/>
            <w:tcMar>
              <w:top w:w="0" w:type="dxa"/>
              <w:left w:w="0" w:type="dxa"/>
              <w:bottom w:w="0" w:type="dxa"/>
              <w:right w:w="0" w:type="dxa"/>
            </w:tcMar>
            <w:vAlign w:val="center"/>
          </w:tcPr>
          <w:p>
            <w:pPr>
              <w:spacing w:before="40" w:after="40"/>
              <w:ind w:left="100" w:right="100" w:firstLine="0"/>
              <w:jc w:val="right"/>
            </w:pPr>
          </w:p>
        </w:tc>
        <w:tc>
          <w:tcPr>
            <w:tcW w:w="4857" w:type="dxa"/>
            <w:gridSpan w:val="6"/>
            <w:tcBorders>
              <w:top w:val="single" w:color="000000" w:sz="16" w:space="0"/>
              <w:bottom w:val="single" w:color="000000" w:sz="8" w:space="0"/>
            </w:tcBorders>
            <w:shd w:val="clear" w:color="auto" w:fill="FFFFFF"/>
            <w:tcMar>
              <w:top w:w="0" w:type="dxa"/>
              <w:left w:w="0" w:type="dxa"/>
              <w:bottom w:w="0" w:type="dxa"/>
              <w:right w:w="0" w:type="dxa"/>
            </w:tcMar>
            <w:vAlign w:val="center"/>
          </w:tcPr>
          <w:p>
            <w:pPr>
              <w:spacing w:before="40" w:after="40"/>
              <w:ind w:left="100" w:right="100" w:firstLine="0"/>
              <w:jc w:val="center"/>
            </w:pPr>
            <w:r>
              <w:rPr>
                <w:rFonts w:ascii="Arial" w:hAnsi="Arial" w:eastAsia="Arial" w:cs="Arial"/>
                <w:b/>
                <w:color w:val="000000"/>
                <w:sz w:val="22"/>
                <w:szCs w:val="22"/>
              </w:rPr>
              <w:t>Ano</w:t>
            </w:r>
          </w:p>
        </w:tc>
      </w:tr>
      <w:tr>
        <w:tblPrEx>
          <w:tblLayout w:type="fixed"/>
          <w:tblCellMar>
            <w:top w:w="0" w:type="dxa"/>
            <w:left w:w="10" w:type="dxa"/>
            <w:bottom w:w="0" w:type="dxa"/>
            <w:right w:w="10" w:type="dxa"/>
          </w:tblCellMar>
        </w:tblPrEx>
        <w:trPr>
          <w:cantSplit/>
          <w:trHeight w:val="188" w:hRule="atLeast"/>
          <w:tblHeader/>
          <w:jc w:val="center"/>
        </w:trPr>
        <w:tc>
          <w:tcPr>
            <w:tcW w:w="3263" w:type="dxa"/>
            <w:tcBorders>
              <w:top w:val="single" w:color="000000" w:sz="8"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b/>
                <w:color w:val="000000"/>
                <w:sz w:val="22"/>
                <w:szCs w:val="22"/>
              </w:rPr>
              <w:t>País/Região</w:t>
            </w:r>
          </w:p>
        </w:tc>
        <w:tc>
          <w:tcPr>
            <w:tcW w:w="788" w:type="dxa"/>
            <w:tcBorders>
              <w:top w:val="single" w:color="000000" w:sz="8"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b/>
                <w:color w:val="000000"/>
                <w:sz w:val="22"/>
                <w:szCs w:val="22"/>
              </w:rPr>
              <w:t>1960</w:t>
            </w:r>
          </w:p>
        </w:tc>
        <w:tc>
          <w:tcPr>
            <w:tcW w:w="787" w:type="dxa"/>
            <w:tcBorders>
              <w:top w:val="single" w:color="000000" w:sz="8"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b/>
                <w:color w:val="000000"/>
                <w:sz w:val="22"/>
                <w:szCs w:val="22"/>
              </w:rPr>
              <w:t>1970</w:t>
            </w:r>
          </w:p>
        </w:tc>
        <w:tc>
          <w:tcPr>
            <w:tcW w:w="750" w:type="dxa"/>
            <w:tcBorders>
              <w:top w:val="single" w:color="000000" w:sz="8"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b/>
                <w:color w:val="000000"/>
                <w:sz w:val="22"/>
                <w:szCs w:val="22"/>
              </w:rPr>
              <w:t>1980</w:t>
            </w:r>
          </w:p>
        </w:tc>
        <w:tc>
          <w:tcPr>
            <w:tcW w:w="882" w:type="dxa"/>
            <w:tcBorders>
              <w:top w:val="single" w:color="000000" w:sz="8"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b/>
                <w:color w:val="000000"/>
                <w:sz w:val="22"/>
                <w:szCs w:val="22"/>
              </w:rPr>
              <w:t>1990</w:t>
            </w:r>
          </w:p>
        </w:tc>
        <w:tc>
          <w:tcPr>
            <w:tcW w:w="956" w:type="dxa"/>
            <w:tcBorders>
              <w:top w:val="single" w:color="000000" w:sz="8"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b/>
                <w:color w:val="000000"/>
                <w:sz w:val="22"/>
                <w:szCs w:val="22"/>
              </w:rPr>
              <w:t>2000</w:t>
            </w:r>
          </w:p>
        </w:tc>
        <w:tc>
          <w:tcPr>
            <w:tcW w:w="694" w:type="dxa"/>
            <w:tcBorders>
              <w:top w:val="single" w:color="000000" w:sz="8"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b/>
                <w:color w:val="000000"/>
                <w:sz w:val="22"/>
                <w:szCs w:val="22"/>
              </w:rPr>
              <w:t>2015</w:t>
            </w:r>
          </w:p>
        </w:tc>
      </w:tr>
      <w:tr>
        <w:tblPrEx>
          <w:tblLayout w:type="fixed"/>
          <w:tblCellMar>
            <w:top w:w="0" w:type="dxa"/>
            <w:left w:w="10" w:type="dxa"/>
            <w:bottom w:w="0" w:type="dxa"/>
            <w:right w:w="10" w:type="dxa"/>
          </w:tblCellMar>
        </w:tblPrEx>
        <w:trPr>
          <w:cantSplit/>
          <w:trHeight w:val="360" w:hRule="atLeast"/>
          <w:jc w:val="center"/>
        </w:trPr>
        <w:tc>
          <w:tcPr>
            <w:tcW w:w="3263" w:type="dxa"/>
            <w:shd w:val="clear" w:color="auto" w:fill="FFFFFF"/>
            <w:tcMar>
              <w:top w:w="0" w:type="dxa"/>
              <w:left w:w="0" w:type="dxa"/>
              <w:bottom w:w="0" w:type="dxa"/>
              <w:right w:w="0" w:type="dxa"/>
            </w:tcMar>
            <w:vAlign w:val="center"/>
          </w:tcPr>
          <w:p>
            <w:pPr>
              <w:spacing w:before="40" w:after="40"/>
              <w:ind w:left="100" w:right="100" w:firstLine="0"/>
              <w:jc w:val="right"/>
              <w:rPr>
                <w:rFonts w:hint="default"/>
                <w:lang w:val="pt-BR"/>
              </w:rPr>
            </w:pPr>
            <w:r>
              <w:rPr>
                <w:rFonts w:hint="default" w:ascii="Arial" w:hAnsi="Arial" w:eastAsia="Arial" w:cs="Arial"/>
                <w:color w:val="111111"/>
                <w:sz w:val="22"/>
                <w:szCs w:val="22"/>
                <w:lang w:val="pt-BR"/>
              </w:rPr>
              <w:t>Mundo</w:t>
            </w:r>
          </w:p>
        </w:tc>
        <w:tc>
          <w:tcPr>
            <w:tcW w:w="788"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33.8</w:t>
            </w:r>
          </w:p>
        </w:tc>
        <w:tc>
          <w:tcPr>
            <w:tcW w:w="787"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36.6</w:t>
            </w:r>
          </w:p>
        </w:tc>
        <w:tc>
          <w:tcPr>
            <w:tcW w:w="750"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39.3</w:t>
            </w:r>
          </w:p>
        </w:tc>
        <w:tc>
          <w:tcPr>
            <w:tcW w:w="882"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43.0</w:t>
            </w:r>
          </w:p>
        </w:tc>
        <w:tc>
          <w:tcPr>
            <w:tcW w:w="956"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46.7</w:t>
            </w:r>
          </w:p>
        </w:tc>
        <w:tc>
          <w:tcPr>
            <w:tcW w:w="694"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53.9</w:t>
            </w:r>
          </w:p>
        </w:tc>
      </w:tr>
      <w:tr>
        <w:tblPrEx>
          <w:tblLayout w:type="fixed"/>
          <w:tblCellMar>
            <w:top w:w="0" w:type="dxa"/>
            <w:left w:w="10" w:type="dxa"/>
            <w:bottom w:w="0" w:type="dxa"/>
            <w:right w:w="10" w:type="dxa"/>
          </w:tblCellMar>
        </w:tblPrEx>
        <w:trPr>
          <w:cantSplit/>
          <w:trHeight w:val="360" w:hRule="atLeast"/>
          <w:jc w:val="center"/>
        </w:trPr>
        <w:tc>
          <w:tcPr>
            <w:tcW w:w="3263"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Países Desenvolvidos</w:t>
            </w:r>
          </w:p>
        </w:tc>
        <w:tc>
          <w:tcPr>
            <w:tcW w:w="788"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61.1</w:t>
            </w:r>
          </w:p>
        </w:tc>
        <w:tc>
          <w:tcPr>
            <w:tcW w:w="787"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66.8</w:t>
            </w:r>
          </w:p>
        </w:tc>
        <w:tc>
          <w:tcPr>
            <w:tcW w:w="750"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70.3</w:t>
            </w:r>
          </w:p>
        </w:tc>
        <w:tc>
          <w:tcPr>
            <w:tcW w:w="882"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72.4</w:t>
            </w:r>
          </w:p>
        </w:tc>
        <w:tc>
          <w:tcPr>
            <w:tcW w:w="956"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74.2</w:t>
            </w:r>
          </w:p>
        </w:tc>
        <w:tc>
          <w:tcPr>
            <w:tcW w:w="694"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78.1</w:t>
            </w:r>
          </w:p>
        </w:tc>
      </w:tr>
      <w:tr>
        <w:tblPrEx>
          <w:tblLayout w:type="fixed"/>
          <w:tblCellMar>
            <w:top w:w="0" w:type="dxa"/>
            <w:left w:w="10" w:type="dxa"/>
            <w:bottom w:w="0" w:type="dxa"/>
            <w:right w:w="10" w:type="dxa"/>
          </w:tblCellMar>
        </w:tblPrEx>
        <w:trPr>
          <w:cantSplit/>
          <w:trHeight w:val="360" w:hRule="atLeast"/>
          <w:jc w:val="center"/>
        </w:trPr>
        <w:tc>
          <w:tcPr>
            <w:tcW w:w="3263"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Países em Desenvolvimento</w:t>
            </w:r>
          </w:p>
        </w:tc>
        <w:tc>
          <w:tcPr>
            <w:tcW w:w="788"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21.9</w:t>
            </w:r>
          </w:p>
        </w:tc>
        <w:tc>
          <w:tcPr>
            <w:tcW w:w="787"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25.3</w:t>
            </w:r>
          </w:p>
        </w:tc>
        <w:tc>
          <w:tcPr>
            <w:tcW w:w="750"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29.4</w:t>
            </w:r>
          </w:p>
        </w:tc>
        <w:tc>
          <w:tcPr>
            <w:tcW w:w="882"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34.9</w:t>
            </w:r>
          </w:p>
        </w:tc>
        <w:tc>
          <w:tcPr>
            <w:tcW w:w="956"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40.1</w:t>
            </w:r>
          </w:p>
        </w:tc>
        <w:tc>
          <w:tcPr>
            <w:tcW w:w="694"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49.0</w:t>
            </w:r>
          </w:p>
        </w:tc>
      </w:tr>
      <w:tr>
        <w:tblPrEx>
          <w:tblLayout w:type="fixed"/>
          <w:tblCellMar>
            <w:top w:w="0" w:type="dxa"/>
            <w:left w:w="10" w:type="dxa"/>
            <w:bottom w:w="0" w:type="dxa"/>
            <w:right w:w="10" w:type="dxa"/>
          </w:tblCellMar>
        </w:tblPrEx>
        <w:trPr>
          <w:cantSplit/>
          <w:trHeight w:val="360" w:hRule="atLeast"/>
          <w:jc w:val="center"/>
        </w:trPr>
        <w:tc>
          <w:tcPr>
            <w:tcW w:w="3263" w:type="dxa"/>
            <w:shd w:val="clear" w:color="auto" w:fill="FFFFFF"/>
            <w:tcMar>
              <w:top w:w="0" w:type="dxa"/>
              <w:left w:w="0" w:type="dxa"/>
              <w:bottom w:w="0" w:type="dxa"/>
              <w:right w:w="0" w:type="dxa"/>
            </w:tcMar>
            <w:vAlign w:val="center"/>
          </w:tcPr>
          <w:p>
            <w:pPr>
              <w:spacing w:before="40" w:after="40"/>
              <w:ind w:left="100" w:right="100" w:firstLine="0"/>
              <w:jc w:val="right"/>
              <w:rPr>
                <w:rFonts w:hint="default"/>
                <w:lang w:val="pt-BR"/>
              </w:rPr>
            </w:pPr>
            <w:r>
              <w:rPr>
                <w:rFonts w:hint="default" w:ascii="Arial" w:hAnsi="Arial" w:eastAsia="Arial" w:cs="Arial"/>
                <w:color w:val="111111"/>
                <w:sz w:val="22"/>
                <w:szCs w:val="22"/>
                <w:lang w:val="pt-BR"/>
              </w:rPr>
              <w:t>Europa</w:t>
            </w:r>
          </w:p>
        </w:tc>
        <w:tc>
          <w:tcPr>
            <w:tcW w:w="788"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57.4</w:t>
            </w:r>
          </w:p>
        </w:tc>
        <w:tc>
          <w:tcPr>
            <w:tcW w:w="787"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63.1</w:t>
            </w:r>
          </w:p>
        </w:tc>
        <w:tc>
          <w:tcPr>
            <w:tcW w:w="750"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67.6</w:t>
            </w:r>
          </w:p>
        </w:tc>
        <w:tc>
          <w:tcPr>
            <w:tcW w:w="882"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69.9</w:t>
            </w:r>
          </w:p>
        </w:tc>
        <w:tc>
          <w:tcPr>
            <w:tcW w:w="956"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71.1</w:t>
            </w:r>
          </w:p>
        </w:tc>
        <w:tc>
          <w:tcPr>
            <w:tcW w:w="694"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73.9</w:t>
            </w:r>
          </w:p>
        </w:tc>
      </w:tr>
      <w:tr>
        <w:tblPrEx>
          <w:tblLayout w:type="fixed"/>
          <w:tblCellMar>
            <w:top w:w="0" w:type="dxa"/>
            <w:left w:w="10" w:type="dxa"/>
            <w:bottom w:w="0" w:type="dxa"/>
            <w:right w:w="10" w:type="dxa"/>
          </w:tblCellMar>
        </w:tblPrEx>
        <w:trPr>
          <w:cantSplit/>
          <w:trHeight w:val="360" w:hRule="atLeast"/>
          <w:jc w:val="center"/>
        </w:trPr>
        <w:tc>
          <w:tcPr>
            <w:tcW w:w="3263" w:type="dxa"/>
            <w:shd w:val="clear" w:color="auto" w:fill="FFFFFF"/>
            <w:tcMar>
              <w:top w:w="0" w:type="dxa"/>
              <w:left w:w="0" w:type="dxa"/>
              <w:bottom w:w="0" w:type="dxa"/>
              <w:right w:w="0" w:type="dxa"/>
            </w:tcMar>
            <w:vAlign w:val="center"/>
          </w:tcPr>
          <w:p>
            <w:pPr>
              <w:spacing w:before="40" w:after="40"/>
              <w:ind w:left="100" w:right="100" w:firstLine="0"/>
              <w:jc w:val="right"/>
            </w:pPr>
            <w:r>
              <w:rPr>
                <w:rFonts w:hint="default" w:ascii="Arial" w:hAnsi="Arial" w:eastAsia="Arial" w:cs="Arial"/>
                <w:color w:val="111111"/>
                <w:sz w:val="22"/>
                <w:szCs w:val="22"/>
                <w:lang w:val="pt-BR"/>
              </w:rPr>
              <w:t xml:space="preserve">Europa </w:t>
            </w:r>
            <w:r>
              <w:rPr>
                <w:rFonts w:ascii="Arial" w:hAnsi="Arial" w:eastAsia="Arial" w:cs="Arial"/>
                <w:color w:val="111111"/>
                <w:sz w:val="22"/>
                <w:szCs w:val="22"/>
              </w:rPr>
              <w:t>Oriental</w:t>
            </w:r>
          </w:p>
        </w:tc>
        <w:tc>
          <w:tcPr>
            <w:tcW w:w="788"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48.9</w:t>
            </w:r>
          </w:p>
        </w:tc>
        <w:tc>
          <w:tcPr>
            <w:tcW w:w="787"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56.6</w:t>
            </w:r>
          </w:p>
        </w:tc>
        <w:tc>
          <w:tcPr>
            <w:tcW w:w="750"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63.8</w:t>
            </w:r>
          </w:p>
        </w:tc>
        <w:tc>
          <w:tcPr>
            <w:tcW w:w="882"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68.0</w:t>
            </w:r>
          </w:p>
        </w:tc>
        <w:tc>
          <w:tcPr>
            <w:tcW w:w="956"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68.2</w:t>
            </w:r>
          </w:p>
        </w:tc>
        <w:tc>
          <w:tcPr>
            <w:tcW w:w="694"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69.3</w:t>
            </w:r>
          </w:p>
        </w:tc>
      </w:tr>
      <w:tr>
        <w:tblPrEx>
          <w:tblLayout w:type="fixed"/>
          <w:tblCellMar>
            <w:top w:w="0" w:type="dxa"/>
            <w:left w:w="10" w:type="dxa"/>
            <w:bottom w:w="0" w:type="dxa"/>
            <w:right w:w="10" w:type="dxa"/>
          </w:tblCellMar>
        </w:tblPrEx>
        <w:trPr>
          <w:cantSplit/>
          <w:trHeight w:val="360" w:hRule="atLeast"/>
          <w:jc w:val="center"/>
        </w:trPr>
        <w:tc>
          <w:tcPr>
            <w:tcW w:w="3263" w:type="dxa"/>
            <w:shd w:val="clear" w:color="auto" w:fill="FFFFFF"/>
            <w:tcMar>
              <w:top w:w="0" w:type="dxa"/>
              <w:left w:w="0" w:type="dxa"/>
              <w:bottom w:w="0" w:type="dxa"/>
              <w:right w:w="0" w:type="dxa"/>
            </w:tcMar>
            <w:vAlign w:val="center"/>
          </w:tcPr>
          <w:p>
            <w:pPr>
              <w:spacing w:before="40" w:after="40"/>
              <w:ind w:left="100" w:right="100" w:firstLine="0"/>
              <w:jc w:val="right"/>
            </w:pPr>
            <w:r>
              <w:rPr>
                <w:rFonts w:hint="default" w:ascii="Arial" w:hAnsi="Arial" w:eastAsia="Arial" w:cs="Arial"/>
                <w:color w:val="111111"/>
                <w:sz w:val="22"/>
                <w:szCs w:val="22"/>
                <w:lang w:val="pt-BR"/>
              </w:rPr>
              <w:t xml:space="preserve">Europa </w:t>
            </w:r>
            <w:r>
              <w:rPr>
                <w:rFonts w:ascii="Arial" w:hAnsi="Arial" w:eastAsia="Arial" w:cs="Arial"/>
                <w:color w:val="111111"/>
                <w:sz w:val="22"/>
                <w:szCs w:val="22"/>
              </w:rPr>
              <w:t>Ocidental</w:t>
            </w:r>
          </w:p>
        </w:tc>
        <w:tc>
          <w:tcPr>
            <w:tcW w:w="788"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68.6</w:t>
            </w:r>
          </w:p>
        </w:tc>
        <w:tc>
          <w:tcPr>
            <w:tcW w:w="787"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72.1</w:t>
            </w:r>
          </w:p>
        </w:tc>
        <w:tc>
          <w:tcPr>
            <w:tcW w:w="750"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73.4</w:t>
            </w:r>
          </w:p>
        </w:tc>
        <w:tc>
          <w:tcPr>
            <w:tcW w:w="882"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74.0</w:t>
            </w:r>
          </w:p>
        </w:tc>
        <w:tc>
          <w:tcPr>
            <w:tcW w:w="956"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76.0</w:t>
            </w:r>
          </w:p>
        </w:tc>
        <w:tc>
          <w:tcPr>
            <w:tcW w:w="694"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79.4</w:t>
            </w:r>
          </w:p>
        </w:tc>
      </w:tr>
      <w:tr>
        <w:tblPrEx>
          <w:tblLayout w:type="fixed"/>
          <w:tblCellMar>
            <w:top w:w="0" w:type="dxa"/>
            <w:left w:w="10" w:type="dxa"/>
            <w:bottom w:w="0" w:type="dxa"/>
            <w:right w:w="10" w:type="dxa"/>
          </w:tblCellMar>
        </w:tblPrEx>
        <w:trPr>
          <w:cantSplit/>
          <w:trHeight w:val="360" w:hRule="atLeast"/>
          <w:jc w:val="center"/>
        </w:trPr>
        <w:tc>
          <w:tcPr>
            <w:tcW w:w="3263" w:type="dxa"/>
            <w:shd w:val="clear" w:color="auto" w:fill="FFFFFF"/>
            <w:tcMar>
              <w:top w:w="0" w:type="dxa"/>
              <w:left w:w="0" w:type="dxa"/>
              <w:bottom w:w="0" w:type="dxa"/>
              <w:right w:w="0" w:type="dxa"/>
            </w:tcMar>
            <w:vAlign w:val="center"/>
          </w:tcPr>
          <w:p>
            <w:pPr>
              <w:spacing w:before="40" w:after="40"/>
              <w:ind w:left="100" w:right="100" w:firstLine="0"/>
              <w:jc w:val="right"/>
            </w:pPr>
            <w:r>
              <w:rPr>
                <w:rFonts w:hint="default" w:ascii="Arial" w:hAnsi="Arial" w:eastAsia="Arial" w:cs="Arial"/>
                <w:color w:val="111111"/>
                <w:sz w:val="22"/>
                <w:szCs w:val="22"/>
                <w:lang w:val="pt-BR"/>
              </w:rPr>
              <w:t xml:space="preserve">América </w:t>
            </w:r>
            <w:r>
              <w:rPr>
                <w:rFonts w:ascii="Arial" w:hAnsi="Arial" w:eastAsia="Arial" w:cs="Arial"/>
                <w:color w:val="111111"/>
                <w:sz w:val="22"/>
                <w:szCs w:val="22"/>
              </w:rPr>
              <w:t>Latina e Caribe</w:t>
            </w:r>
          </w:p>
        </w:tc>
        <w:tc>
          <w:tcPr>
            <w:tcW w:w="788"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49.4</w:t>
            </w:r>
          </w:p>
        </w:tc>
        <w:tc>
          <w:tcPr>
            <w:tcW w:w="787"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57.3</w:t>
            </w:r>
          </w:p>
        </w:tc>
        <w:tc>
          <w:tcPr>
            <w:tcW w:w="750"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64.6</w:t>
            </w:r>
          </w:p>
        </w:tc>
        <w:tc>
          <w:tcPr>
            <w:tcW w:w="882"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70.7</w:t>
            </w:r>
          </w:p>
        </w:tc>
        <w:tc>
          <w:tcPr>
            <w:tcW w:w="956"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75.5</w:t>
            </w:r>
          </w:p>
        </w:tc>
        <w:tc>
          <w:tcPr>
            <w:tcW w:w="694"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79.9</w:t>
            </w:r>
          </w:p>
        </w:tc>
      </w:tr>
      <w:tr>
        <w:tblPrEx>
          <w:tblLayout w:type="fixed"/>
          <w:tblCellMar>
            <w:top w:w="0" w:type="dxa"/>
            <w:left w:w="10" w:type="dxa"/>
            <w:bottom w:w="0" w:type="dxa"/>
            <w:right w:w="10" w:type="dxa"/>
          </w:tblCellMar>
        </w:tblPrEx>
        <w:trPr>
          <w:cantSplit/>
          <w:trHeight w:val="360" w:hRule="atLeast"/>
          <w:jc w:val="center"/>
        </w:trPr>
        <w:tc>
          <w:tcPr>
            <w:tcW w:w="3263" w:type="dxa"/>
            <w:shd w:val="clear" w:color="auto" w:fill="FFFFFF"/>
            <w:tcMar>
              <w:top w:w="0" w:type="dxa"/>
              <w:left w:w="0" w:type="dxa"/>
              <w:bottom w:w="0" w:type="dxa"/>
              <w:right w:w="0" w:type="dxa"/>
            </w:tcMar>
            <w:vAlign w:val="center"/>
          </w:tcPr>
          <w:p>
            <w:pPr>
              <w:spacing w:before="40" w:after="40"/>
              <w:ind w:left="100" w:right="100" w:firstLine="0"/>
              <w:jc w:val="right"/>
            </w:pPr>
            <w:r>
              <w:rPr>
                <w:rFonts w:hint="default" w:ascii="Arial" w:hAnsi="Arial" w:eastAsia="Arial" w:cs="Arial"/>
                <w:color w:val="111111"/>
                <w:sz w:val="22"/>
                <w:szCs w:val="22"/>
                <w:lang w:val="pt-BR"/>
              </w:rPr>
              <w:t xml:space="preserve">América </w:t>
            </w:r>
            <w:r>
              <w:rPr>
                <w:rFonts w:ascii="Arial" w:hAnsi="Arial" w:eastAsia="Arial" w:cs="Arial"/>
                <w:color w:val="111111"/>
                <w:sz w:val="22"/>
                <w:szCs w:val="22"/>
              </w:rPr>
              <w:t>do Sul</w:t>
            </w:r>
          </w:p>
        </w:tc>
        <w:tc>
          <w:tcPr>
            <w:tcW w:w="788"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51.8</w:t>
            </w:r>
          </w:p>
        </w:tc>
        <w:tc>
          <w:tcPr>
            <w:tcW w:w="787"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60.0</w:t>
            </w:r>
          </w:p>
        </w:tc>
        <w:tc>
          <w:tcPr>
            <w:tcW w:w="750"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67.6</w:t>
            </w:r>
          </w:p>
        </w:tc>
        <w:tc>
          <w:tcPr>
            <w:tcW w:w="882"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74.2</w:t>
            </w:r>
          </w:p>
        </w:tc>
        <w:tc>
          <w:tcPr>
            <w:tcW w:w="956"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79.6</w:t>
            </w:r>
          </w:p>
        </w:tc>
        <w:tc>
          <w:tcPr>
            <w:tcW w:w="694"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83.5</w:t>
            </w:r>
          </w:p>
        </w:tc>
      </w:tr>
      <w:tr>
        <w:tblPrEx>
          <w:tblLayout w:type="fixed"/>
          <w:tblCellMar>
            <w:top w:w="0" w:type="dxa"/>
            <w:left w:w="10" w:type="dxa"/>
            <w:bottom w:w="0" w:type="dxa"/>
            <w:right w:w="10" w:type="dxa"/>
          </w:tblCellMar>
        </w:tblPrEx>
        <w:trPr>
          <w:cantSplit/>
          <w:trHeight w:val="360" w:hRule="atLeast"/>
          <w:jc w:val="center"/>
        </w:trPr>
        <w:tc>
          <w:tcPr>
            <w:tcW w:w="3263" w:type="dxa"/>
            <w:shd w:val="clear" w:color="auto" w:fill="FFFFFF"/>
            <w:tcMar>
              <w:top w:w="0" w:type="dxa"/>
              <w:left w:w="0" w:type="dxa"/>
              <w:bottom w:w="0" w:type="dxa"/>
              <w:right w:w="0" w:type="dxa"/>
            </w:tcMar>
            <w:vAlign w:val="center"/>
          </w:tcPr>
          <w:p>
            <w:pPr>
              <w:spacing w:before="40" w:after="40"/>
              <w:ind w:left="100" w:right="100" w:firstLine="0"/>
              <w:jc w:val="right"/>
            </w:pPr>
            <w:r>
              <w:rPr>
                <w:rFonts w:hint="default" w:ascii="Arial" w:hAnsi="Arial" w:eastAsia="Arial" w:cs="Arial"/>
                <w:color w:val="111111"/>
                <w:sz w:val="22"/>
                <w:szCs w:val="22"/>
                <w:lang w:val="pt-BR"/>
              </w:rPr>
              <w:t xml:space="preserve">América </w:t>
            </w:r>
            <w:r>
              <w:rPr>
                <w:rFonts w:ascii="Arial" w:hAnsi="Arial" w:eastAsia="Arial" w:cs="Arial"/>
                <w:color w:val="111111"/>
                <w:sz w:val="22"/>
                <w:szCs w:val="22"/>
              </w:rPr>
              <w:t>Central</w:t>
            </w:r>
          </w:p>
        </w:tc>
        <w:tc>
          <w:tcPr>
            <w:tcW w:w="788"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46.4</w:t>
            </w:r>
          </w:p>
        </w:tc>
        <w:tc>
          <w:tcPr>
            <w:tcW w:w="787"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53.7</w:t>
            </w:r>
          </w:p>
        </w:tc>
        <w:tc>
          <w:tcPr>
            <w:tcW w:w="750"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60.3</w:t>
            </w:r>
          </w:p>
        </w:tc>
        <w:tc>
          <w:tcPr>
            <w:tcW w:w="882"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65.0</w:t>
            </w:r>
          </w:p>
        </w:tc>
        <w:tc>
          <w:tcPr>
            <w:tcW w:w="956"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68.7</w:t>
            </w:r>
          </w:p>
        </w:tc>
        <w:tc>
          <w:tcPr>
            <w:tcW w:w="694"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73.7</w:t>
            </w:r>
          </w:p>
        </w:tc>
      </w:tr>
      <w:tr>
        <w:tblPrEx>
          <w:tblLayout w:type="fixed"/>
          <w:tblCellMar>
            <w:top w:w="0" w:type="dxa"/>
            <w:left w:w="10" w:type="dxa"/>
            <w:bottom w:w="0" w:type="dxa"/>
            <w:right w:w="10" w:type="dxa"/>
          </w:tblCellMar>
        </w:tblPrEx>
        <w:trPr>
          <w:cantSplit/>
          <w:trHeight w:val="360" w:hRule="atLeast"/>
          <w:jc w:val="center"/>
        </w:trPr>
        <w:tc>
          <w:tcPr>
            <w:tcW w:w="3263" w:type="dxa"/>
            <w:shd w:val="clear" w:color="auto" w:fill="FFFFFF"/>
            <w:tcMar>
              <w:top w:w="0" w:type="dxa"/>
              <w:left w:w="0" w:type="dxa"/>
              <w:bottom w:w="0" w:type="dxa"/>
              <w:right w:w="0" w:type="dxa"/>
            </w:tcMar>
            <w:vAlign w:val="center"/>
          </w:tcPr>
          <w:p>
            <w:pPr>
              <w:spacing w:before="40" w:after="40"/>
              <w:ind w:left="100" w:right="100" w:firstLine="0"/>
              <w:jc w:val="right"/>
            </w:pPr>
            <w:r>
              <w:rPr>
                <w:rFonts w:hint="default" w:ascii="Arial" w:hAnsi="Arial" w:eastAsia="Arial" w:cs="Arial"/>
                <w:color w:val="111111"/>
                <w:sz w:val="22"/>
                <w:szCs w:val="22"/>
                <w:lang w:val="pt-BR"/>
              </w:rPr>
              <w:t xml:space="preserve">América </w:t>
            </w:r>
            <w:r>
              <w:rPr>
                <w:rFonts w:ascii="Arial" w:hAnsi="Arial" w:eastAsia="Arial" w:cs="Arial"/>
                <w:color w:val="111111"/>
                <w:sz w:val="22"/>
                <w:szCs w:val="22"/>
              </w:rPr>
              <w:t>do Norte</w:t>
            </w:r>
          </w:p>
        </w:tc>
        <w:tc>
          <w:tcPr>
            <w:tcW w:w="788"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69.9</w:t>
            </w:r>
          </w:p>
        </w:tc>
        <w:tc>
          <w:tcPr>
            <w:tcW w:w="787"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73.8</w:t>
            </w:r>
          </w:p>
        </w:tc>
        <w:tc>
          <w:tcPr>
            <w:tcW w:w="750"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73.9</w:t>
            </w:r>
          </w:p>
        </w:tc>
        <w:tc>
          <w:tcPr>
            <w:tcW w:w="882"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75.4</w:t>
            </w:r>
          </w:p>
        </w:tc>
        <w:tc>
          <w:tcPr>
            <w:tcW w:w="956"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79.1</w:t>
            </w:r>
          </w:p>
        </w:tc>
        <w:tc>
          <w:tcPr>
            <w:tcW w:w="694"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81.6</w:t>
            </w:r>
          </w:p>
        </w:tc>
      </w:tr>
      <w:tr>
        <w:tblPrEx>
          <w:tblLayout w:type="fixed"/>
          <w:tblCellMar>
            <w:top w:w="0" w:type="dxa"/>
            <w:left w:w="10" w:type="dxa"/>
            <w:bottom w:w="0" w:type="dxa"/>
            <w:right w:w="10" w:type="dxa"/>
          </w:tblCellMar>
        </w:tblPrEx>
        <w:trPr>
          <w:cantSplit/>
          <w:trHeight w:val="360" w:hRule="atLeast"/>
          <w:jc w:val="center"/>
        </w:trPr>
        <w:tc>
          <w:tcPr>
            <w:tcW w:w="3263"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EUA</w:t>
            </w:r>
          </w:p>
        </w:tc>
        <w:tc>
          <w:tcPr>
            <w:tcW w:w="788"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70.0</w:t>
            </w:r>
          </w:p>
        </w:tc>
        <w:tc>
          <w:tcPr>
            <w:tcW w:w="787"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73.6</w:t>
            </w:r>
          </w:p>
        </w:tc>
        <w:tc>
          <w:tcPr>
            <w:tcW w:w="750"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73.7</w:t>
            </w:r>
          </w:p>
        </w:tc>
        <w:tc>
          <w:tcPr>
            <w:tcW w:w="882"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75.3</w:t>
            </w:r>
          </w:p>
        </w:tc>
        <w:tc>
          <w:tcPr>
            <w:tcW w:w="956"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79.1</w:t>
            </w:r>
          </w:p>
        </w:tc>
        <w:tc>
          <w:tcPr>
            <w:tcW w:w="694"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81.7</w:t>
            </w:r>
          </w:p>
        </w:tc>
      </w:tr>
      <w:tr>
        <w:tblPrEx>
          <w:tblLayout w:type="fixed"/>
          <w:tblCellMar>
            <w:top w:w="0" w:type="dxa"/>
            <w:left w:w="10" w:type="dxa"/>
            <w:bottom w:w="0" w:type="dxa"/>
            <w:right w:w="10" w:type="dxa"/>
          </w:tblCellMar>
        </w:tblPrEx>
        <w:trPr>
          <w:cantSplit/>
          <w:trHeight w:val="360" w:hRule="atLeast"/>
          <w:jc w:val="center"/>
        </w:trPr>
        <w:tc>
          <w:tcPr>
            <w:tcW w:w="3263"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Argentina</w:t>
            </w:r>
          </w:p>
        </w:tc>
        <w:tc>
          <w:tcPr>
            <w:tcW w:w="788"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73.6</w:t>
            </w:r>
          </w:p>
        </w:tc>
        <w:tc>
          <w:tcPr>
            <w:tcW w:w="787"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78.9</w:t>
            </w:r>
          </w:p>
        </w:tc>
        <w:tc>
          <w:tcPr>
            <w:tcW w:w="750"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82.9</w:t>
            </w:r>
          </w:p>
        </w:tc>
        <w:tc>
          <w:tcPr>
            <w:tcW w:w="882"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87.0</w:t>
            </w:r>
          </w:p>
        </w:tc>
        <w:tc>
          <w:tcPr>
            <w:tcW w:w="956"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89.1</w:t>
            </w:r>
          </w:p>
        </w:tc>
        <w:tc>
          <w:tcPr>
            <w:tcW w:w="694" w:type="dxa"/>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91.5</w:t>
            </w:r>
          </w:p>
        </w:tc>
      </w:tr>
      <w:tr>
        <w:tblPrEx>
          <w:tblLayout w:type="fixed"/>
          <w:tblCellMar>
            <w:top w:w="0" w:type="dxa"/>
            <w:left w:w="10" w:type="dxa"/>
            <w:bottom w:w="0" w:type="dxa"/>
            <w:right w:w="10" w:type="dxa"/>
          </w:tblCellMar>
        </w:tblPrEx>
        <w:trPr>
          <w:cantSplit/>
          <w:trHeight w:val="360" w:hRule="atLeast"/>
          <w:jc w:val="center"/>
        </w:trPr>
        <w:tc>
          <w:tcPr>
            <w:tcW w:w="3263" w:type="dxa"/>
            <w:tcBorders>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Brasil</w:t>
            </w:r>
          </w:p>
        </w:tc>
        <w:tc>
          <w:tcPr>
            <w:tcW w:w="788" w:type="dxa"/>
            <w:tcBorders>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46.1</w:t>
            </w:r>
          </w:p>
        </w:tc>
        <w:tc>
          <w:tcPr>
            <w:tcW w:w="787" w:type="dxa"/>
            <w:tcBorders>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55.9</w:t>
            </w:r>
          </w:p>
        </w:tc>
        <w:tc>
          <w:tcPr>
            <w:tcW w:w="750" w:type="dxa"/>
            <w:tcBorders>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65.5</w:t>
            </w:r>
          </w:p>
        </w:tc>
        <w:tc>
          <w:tcPr>
            <w:tcW w:w="882" w:type="dxa"/>
            <w:tcBorders>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73.9</w:t>
            </w:r>
          </w:p>
        </w:tc>
        <w:tc>
          <w:tcPr>
            <w:tcW w:w="956" w:type="dxa"/>
            <w:tcBorders>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81.2</w:t>
            </w:r>
          </w:p>
        </w:tc>
        <w:tc>
          <w:tcPr>
            <w:tcW w:w="694" w:type="dxa"/>
            <w:tcBorders>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right"/>
            </w:pPr>
            <w:r>
              <w:rPr>
                <w:rFonts w:ascii="Arial" w:hAnsi="Arial" w:eastAsia="Arial" w:cs="Arial"/>
                <w:color w:val="111111"/>
                <w:sz w:val="22"/>
                <w:szCs w:val="22"/>
              </w:rPr>
              <w:t>85.8</w:t>
            </w:r>
          </w:p>
        </w:tc>
      </w:tr>
    </w:tbl>
    <w:p>
      <w:pPr>
        <w:spacing w:before="0" w:after="0" w:line="360" w:lineRule="auto"/>
        <w:ind w:firstLine="708"/>
        <w:jc w:val="both"/>
        <w:rPr>
          <w:rFonts w:ascii="Times New Roman" w:hAnsi="Times New Roman" w:eastAsia="Times New Roman" w:cs="Times New Roman"/>
          <w:sz w:val="24"/>
          <w:szCs w:val="24"/>
          <w:rtl w:val="0"/>
          <w:lang w:val="zh-CN"/>
        </w:rPr>
      </w:pP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Há de se levar em consideração, ainda, que</w:t>
      </w:r>
      <w:r>
        <w:rPr>
          <w:rFonts w:hint="default" w:ascii="Times New Roman" w:hAnsi="Times New Roman" w:eastAsia="Times New Roman" w:cs="Times New Roman"/>
          <w:sz w:val="24"/>
          <w:szCs w:val="24"/>
          <w:rtl w:val="0"/>
          <w:lang w:val="pt-BR"/>
        </w:rPr>
        <w:t xml:space="preserve"> a</w:t>
      </w:r>
      <w:r>
        <w:rPr>
          <w:rFonts w:ascii="Times New Roman" w:hAnsi="Times New Roman" w:eastAsia="Times New Roman" w:cs="Times New Roman"/>
          <w:sz w:val="24"/>
          <w:szCs w:val="24"/>
          <w:rtl w:val="0"/>
          <w:lang w:val="zh-CN"/>
        </w:rPr>
        <w:t xml:space="preserve"> este “êxodo rural” ainda foi acompanhado de um crescimento demográfico expressivo.</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Todo este crescimento expressivo seria salutar se tivesse se dado no contexto do rápido desenvolvimento da economia nacional. Isto, porém, não ocorreu durante todo o período analisado. O crescimento da economia brasileira acelerou-se na segunda quadra da década de 60 e manteve-se alto até fins da década seguinte, porém estagnou-se na década de 80, a chamada década perdida, sem que com isso a população urbana deixasse de crescer vertiginosamente.</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Para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"ref-rangel1986a"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"ref-rangel1986a"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c</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 151), “essa redistribuição da população entre os quadros urbano e rural não tem, em si mesma, nada de anormal.[…] A urbanização, em si mesma, é um fenômeno perfeitamente normal, numa economia em processo de industrialização. O que não é normal é o ritmo que imprimimos ao nosso processo de urbanização, que implica criar, nas cidades, uma oferta de mão-de-obra em descompasso com a demanda que a industrialização vai criando.”</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Todo este processo só poderia, então, ter desaguado no inchaço das principais cidades brasileiras. Desnecessário dizer que o planejamento urbano nestas condições é praticamente inviável. As administrações municipais, nem que fossem as mais eficientes, teriam capacidade de planejar e disciplinar o uso do solo urbano nesta “velocidade migratória”.</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Para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"ref-rangel1988"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"ref-rangel1988"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b</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xml:space="preserve">, pp. 156–157), com o desenvolvimento da indústria pesada no Brasil, a crise agrária, antes cíclica, tornou-se crônica, criando um “vasto deslocamento de população, na direção geral campo-cidade. Esse movimento se faz escalonadamente, das áreas rurais para as cidades pequenas; destas para as médias e grandes, e posteriormente para as metrópoles gigantes. No fim da linha, portanto, vamos encontrar as cidades de São Paulo e do Rio de Janeiro”. Enfim, para Rangel, </w:t>
      </w:r>
      <w:r>
        <w:rPr>
          <w:rFonts w:hint="default" w:ascii="Times New Roman" w:hAnsi="Times New Roman" w:eastAsia="Times New Roman" w:cs="Times New Roman"/>
          <w:sz w:val="24"/>
          <w:szCs w:val="24"/>
          <w:rtl w:val="0"/>
          <w:lang w:val="pt-BR"/>
        </w:rPr>
        <w:t>n</w:t>
      </w:r>
      <w:r>
        <w:rPr>
          <w:rFonts w:ascii="Times New Roman" w:hAnsi="Times New Roman" w:eastAsia="Times New Roman" w:cs="Times New Roman"/>
          <w:sz w:val="24"/>
          <w:szCs w:val="24"/>
          <w:rtl w:val="0"/>
          <w:lang w:val="zh-CN"/>
        </w:rPr>
        <w:t>a origem deste “multidinário deslocamento demográfico”, está “o modo como o país preparou sua estrutura agrária para a industrialização”.</w:t>
      </w:r>
    </w:p>
    <w:p>
      <w:pPr>
        <w:pStyle w:val="2"/>
        <w:numPr>
          <w:ilvl w:val="0"/>
          <w:numId w:val="1"/>
        </w:numPr>
        <w:bidi w:val="0"/>
        <w:rPr>
          <w:rFonts w:hint="default" w:ascii="Times New Roman" w:hAnsi="Times New Roman" w:cs="Times New Roman"/>
          <w:color w:val="auto"/>
          <w:sz w:val="24"/>
          <w:szCs w:val="24"/>
        </w:rPr>
      </w:pPr>
      <w:bookmarkStart w:id="2" w:name="contexto-historico"/>
      <w:r>
        <w:rPr>
          <w:rFonts w:hint="default" w:ascii="Times New Roman" w:hAnsi="Times New Roman" w:cs="Times New Roman"/>
          <w:color w:val="auto"/>
          <w:sz w:val="24"/>
          <w:szCs w:val="24"/>
        </w:rPr>
        <w:t>CONTEXTO HISTÓRICO</w:t>
      </w:r>
      <w:bookmarkEnd w:id="2"/>
    </w:p>
    <w:p>
      <w:pPr>
        <w:pStyle w:val="3"/>
        <w:rPr>
          <w:rFonts w:hint="default"/>
        </w:rPr>
      </w:pP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O Capitalismo é um sistema político-econômico que, historicamente, substitui o Feudalismo, sistema em que a população encontrava</w:t>
      </w:r>
      <w:r>
        <w:rPr>
          <w:rFonts w:hint="default" w:ascii="Times New Roman" w:hAnsi="Times New Roman" w:eastAsia="Times New Roman" w:cs="Times New Roman"/>
          <w:sz w:val="24"/>
          <w:szCs w:val="24"/>
          <w:rtl w:val="0"/>
          <w:lang w:val="pt-BR"/>
        </w:rPr>
        <w:t xml:space="preserve"> praticamente</w:t>
      </w:r>
      <w:r>
        <w:rPr>
          <w:rFonts w:ascii="Times New Roman" w:hAnsi="Times New Roman" w:eastAsia="Times New Roman" w:cs="Times New Roman"/>
          <w:sz w:val="24"/>
          <w:szCs w:val="24"/>
          <w:rtl w:val="0"/>
          <w:lang w:val="zh-CN"/>
        </w:rPr>
        <w:t xml:space="preserve"> toda concentrada no campo.</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Nas sociedades pré-capitalistas, a população predominante rural organizava-se no</w:t>
      </w:r>
      <w:r>
        <w:rPr>
          <w:rFonts w:hint="default" w:ascii="Times New Roman" w:hAnsi="Times New Roman" w:eastAsia="Times New Roman" w:cs="Times New Roman"/>
          <w:sz w:val="24"/>
          <w:szCs w:val="24"/>
          <w:rtl w:val="0"/>
          <w:lang w:val="pt-BR"/>
        </w:rPr>
        <w:t xml:space="preserve"> que se denomina</w:t>
      </w:r>
      <w:r>
        <w:rPr>
          <w:rFonts w:ascii="Times New Roman" w:hAnsi="Times New Roman" w:eastAsia="Times New Roman" w:cs="Times New Roman"/>
          <w:sz w:val="24"/>
          <w:szCs w:val="24"/>
          <w:rtl w:val="0"/>
          <w:lang w:val="zh-CN"/>
        </w:rPr>
        <w:t xml:space="preserve"> ‘Complexo Rural’, ou seja, </w:t>
      </w:r>
      <w:r>
        <w:rPr>
          <w:rFonts w:hint="default" w:ascii="Times New Roman" w:hAnsi="Times New Roman" w:eastAsia="Times New Roman" w:cs="Times New Roman"/>
          <w:sz w:val="24"/>
          <w:szCs w:val="24"/>
          <w:rtl w:val="0"/>
          <w:lang w:val="pt-BR"/>
        </w:rPr>
        <w:t xml:space="preserve">num ambiente rural onde eram produzidos não apenas os produtos agrícolas, mas onde também </w:t>
      </w:r>
      <w:r>
        <w:rPr>
          <w:rFonts w:ascii="Times New Roman" w:hAnsi="Times New Roman" w:eastAsia="Times New Roman" w:cs="Times New Roman"/>
          <w:sz w:val="24"/>
          <w:szCs w:val="24"/>
          <w:rtl w:val="0"/>
          <w:lang w:val="zh-CN"/>
        </w:rPr>
        <w:t>eram produzidos pelo</w:t>
      </w:r>
      <w:r>
        <w:rPr>
          <w:rFonts w:hint="default" w:ascii="Times New Roman" w:hAnsi="Times New Roman" w:eastAsia="Times New Roman" w:cs="Times New Roman"/>
          <w:sz w:val="24"/>
          <w:szCs w:val="24"/>
          <w:rtl w:val="0"/>
          <w:lang w:val="pt-BR"/>
        </w:rPr>
        <w:t xml:space="preserve">s próprios </w:t>
      </w:r>
      <w:r>
        <w:rPr>
          <w:rFonts w:ascii="Times New Roman" w:hAnsi="Times New Roman" w:eastAsia="Times New Roman" w:cs="Times New Roman"/>
          <w:sz w:val="24"/>
          <w:szCs w:val="24"/>
          <w:rtl w:val="0"/>
          <w:lang w:val="zh-CN"/>
        </w:rPr>
        <w:t xml:space="preserve"> campon</w:t>
      </w:r>
      <w:r>
        <w:rPr>
          <w:rFonts w:hint="default" w:ascii="Times New Roman" w:hAnsi="Times New Roman" w:eastAsia="Times New Roman" w:cs="Times New Roman"/>
          <w:sz w:val="24"/>
          <w:szCs w:val="24"/>
          <w:rtl w:val="0"/>
          <w:lang w:val="pt-BR"/>
        </w:rPr>
        <w:t>eses</w:t>
      </w:r>
      <w:r>
        <w:rPr>
          <w:rFonts w:ascii="Times New Roman" w:hAnsi="Times New Roman" w:eastAsia="Times New Roman" w:cs="Times New Roman"/>
          <w:sz w:val="24"/>
          <w:szCs w:val="24"/>
          <w:rtl w:val="0"/>
          <w:lang w:val="zh-CN"/>
        </w:rPr>
        <w:t xml:space="preserve"> todo o ferramental necessário</w:t>
      </w:r>
      <w:r>
        <w:rPr>
          <w:rFonts w:hint="default" w:ascii="Times New Roman" w:hAnsi="Times New Roman" w:eastAsia="Times New Roman" w:cs="Times New Roman"/>
          <w:sz w:val="24"/>
          <w:szCs w:val="24"/>
          <w:rtl w:val="0"/>
          <w:lang w:val="pt-BR"/>
        </w:rPr>
        <w:t xml:space="preserve"> para as suas atividades agrícolas, assim como </w:t>
      </w:r>
      <w:r>
        <w:rPr>
          <w:rFonts w:ascii="Times New Roman" w:hAnsi="Times New Roman" w:eastAsia="Times New Roman" w:cs="Times New Roman"/>
          <w:sz w:val="24"/>
          <w:szCs w:val="24"/>
          <w:rtl w:val="0"/>
          <w:lang w:val="zh-CN"/>
        </w:rPr>
        <w:t>suas vestes e utensílios</w:t>
      </w:r>
      <w:r>
        <w:rPr>
          <w:rFonts w:hint="default" w:ascii="Times New Roman" w:hAnsi="Times New Roman" w:eastAsia="Times New Roman" w:cs="Times New Roman"/>
          <w:sz w:val="24"/>
          <w:szCs w:val="24"/>
          <w:rtl w:val="0"/>
          <w:lang w:val="pt-BR"/>
        </w:rPr>
        <w:t xml:space="preserve"> domésticos</w:t>
      </w:r>
      <w:r>
        <w:rPr>
          <w:rFonts w:ascii="Times New Roman" w:hAnsi="Times New Roman" w:eastAsia="Times New Roman" w:cs="Times New Roman"/>
          <w:sz w:val="24"/>
          <w:szCs w:val="24"/>
          <w:rtl w:val="0"/>
          <w:lang w:val="zh-CN"/>
        </w:rPr>
        <w:t>.</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 xml:space="preserve">A passagem do sistema feudal para o sistema capitalista ocorre com a </w:t>
      </w:r>
      <w:r>
        <w:rPr>
          <w:rFonts w:ascii="Times New Roman" w:hAnsi="Times New Roman" w:eastAsia="Times New Roman" w:cs="Times New Roman"/>
          <w:i/>
          <w:iCs/>
          <w:sz w:val="24"/>
          <w:szCs w:val="24"/>
          <w:rtl w:val="0"/>
          <w:lang w:val="zh-CN"/>
        </w:rPr>
        <w:t>divisão social do trabalho</w:t>
      </w:r>
      <w:r>
        <w:rPr>
          <w:rFonts w:ascii="Times New Roman" w:hAnsi="Times New Roman" w:eastAsia="Times New Roman" w:cs="Times New Roman"/>
          <w:sz w:val="24"/>
          <w:szCs w:val="24"/>
          <w:rtl w:val="0"/>
          <w:lang w:val="zh-CN"/>
        </w:rPr>
        <w:t>, ou seja, com o desenvolvimento de indústrias que vão</w:t>
      </w:r>
      <w:r>
        <w:rPr>
          <w:rFonts w:hint="default" w:ascii="Times New Roman" w:hAnsi="Times New Roman" w:eastAsia="Times New Roman" w:cs="Times New Roman"/>
          <w:sz w:val="24"/>
          <w:szCs w:val="24"/>
          <w:rtl w:val="0"/>
          <w:lang w:val="pt-BR"/>
        </w:rPr>
        <w:t>,</w:t>
      </w:r>
      <w:r>
        <w:rPr>
          <w:rFonts w:ascii="Times New Roman" w:hAnsi="Times New Roman" w:eastAsia="Times New Roman" w:cs="Times New Roman"/>
          <w:sz w:val="24"/>
          <w:szCs w:val="24"/>
          <w:rtl w:val="0"/>
          <w:lang w:val="zh-CN"/>
        </w:rPr>
        <w:t xml:space="preserve"> aos poucos</w:t>
      </w:r>
      <w:r>
        <w:rPr>
          <w:rFonts w:hint="default" w:ascii="Times New Roman" w:hAnsi="Times New Roman" w:eastAsia="Times New Roman" w:cs="Times New Roman"/>
          <w:sz w:val="24"/>
          <w:szCs w:val="24"/>
          <w:rtl w:val="0"/>
          <w:lang w:val="pt-BR"/>
        </w:rPr>
        <w:t>,</w:t>
      </w:r>
      <w:r>
        <w:rPr>
          <w:rFonts w:ascii="Times New Roman" w:hAnsi="Times New Roman" w:eastAsia="Times New Roman" w:cs="Times New Roman"/>
          <w:sz w:val="24"/>
          <w:szCs w:val="24"/>
          <w:rtl w:val="0"/>
          <w:lang w:val="zh-CN"/>
        </w:rPr>
        <w:t xml:space="preserve"> absorve</w:t>
      </w:r>
      <w:r>
        <w:rPr>
          <w:rFonts w:hint="default" w:ascii="Times New Roman" w:hAnsi="Times New Roman" w:eastAsia="Times New Roman" w:cs="Times New Roman"/>
          <w:sz w:val="24"/>
          <w:szCs w:val="24"/>
          <w:rtl w:val="0"/>
          <w:lang w:val="pt-BR"/>
        </w:rPr>
        <w:t>ndo</w:t>
      </w:r>
      <w:r>
        <w:rPr>
          <w:rFonts w:ascii="Times New Roman" w:hAnsi="Times New Roman" w:eastAsia="Times New Roman" w:cs="Times New Roman"/>
          <w:sz w:val="24"/>
          <w:szCs w:val="24"/>
          <w:rtl w:val="0"/>
          <w:lang w:val="zh-CN"/>
        </w:rPr>
        <w:t xml:space="preserve"> as atividades não-agrícolas realizadas no campo.</w:t>
      </w:r>
    </w:p>
    <w:p>
      <w:pPr>
        <w:spacing w:after="200" w:line="240" w:lineRule="auto"/>
        <w:ind w:left="2880" w:firstLine="0"/>
        <w:jc w:val="both"/>
        <w:rPr>
          <w:rFonts w:ascii="Times New Roman" w:hAnsi="Times New Roman" w:eastAsia="Times New Roman" w:cs="Times New Roman"/>
          <w:sz w:val="20"/>
          <w:szCs w:val="20"/>
          <w:rtl w:val="0"/>
          <w:lang w:val="zh-CN"/>
        </w:rPr>
      </w:pPr>
      <w:r>
        <w:rPr>
          <w:rFonts w:ascii="Times New Roman" w:hAnsi="Times New Roman" w:eastAsia="Times New Roman" w:cs="Times New Roman"/>
          <w:sz w:val="20"/>
          <w:szCs w:val="20"/>
          <w:rtl w:val="0"/>
          <w:lang w:val="zh-CN"/>
        </w:rPr>
        <w:t>Numa economia em expansão, com crescente industrialização, comercialização e urbanização, numerosos processos anteriormente levados a efeito dentro da casa da família ou unidade (</w:t>
      </w:r>
      <w:r>
        <w:rPr>
          <w:rFonts w:ascii="Times New Roman" w:hAnsi="Times New Roman" w:eastAsia="Times New Roman" w:cs="Times New Roman"/>
          <w:sz w:val="20"/>
          <w:szCs w:val="20"/>
          <w:rtl w:val="0"/>
          <w:lang w:val="pt-BR"/>
        </w:rPr>
        <w:t>económica</w:t>
      </w:r>
      <w:r>
        <w:rPr>
          <w:rFonts w:ascii="Times New Roman" w:hAnsi="Times New Roman" w:eastAsia="Times New Roman" w:cs="Times New Roman"/>
          <w:sz w:val="20"/>
          <w:szCs w:val="20"/>
          <w:rtl w:val="0"/>
          <w:lang w:val="zh-CN"/>
        </w:rPr>
        <w:t xml:space="preserve">) </w:t>
      </w:r>
      <w:r>
        <w:rPr>
          <w:rFonts w:ascii="Times New Roman" w:hAnsi="Times New Roman" w:eastAsia="Times New Roman" w:cs="Times New Roman"/>
          <w:sz w:val="20"/>
          <w:szCs w:val="20"/>
          <w:rtl w:val="0"/>
          <w:lang w:val="pt-BR"/>
        </w:rPr>
        <w:t>familiar</w:t>
      </w:r>
      <w:r>
        <w:rPr>
          <w:rFonts w:ascii="Times New Roman" w:hAnsi="Times New Roman" w:eastAsia="Times New Roman" w:cs="Times New Roman"/>
          <w:sz w:val="20"/>
          <w:szCs w:val="20"/>
          <w:rtl w:val="0"/>
          <w:lang w:val="zh-CN"/>
        </w:rPr>
        <w:t>, ou são completamente abandonados ou substituídos por processos semelhantes em bases comerciais.(KUZNETS (</w:t>
      </w:r>
      <w:r>
        <w:rPr>
          <w:rFonts w:ascii="Times New Roman" w:hAnsi="Times New Roman" w:eastAsia="Times New Roman" w:cs="Times New Roman"/>
          <w:sz w:val="20"/>
          <w:szCs w:val="20"/>
          <w:rtl w:val="0"/>
          <w:lang w:val="zh-CN"/>
        </w:rPr>
        <w:fldChar w:fldCharType="begin"/>
      </w:r>
      <w:r>
        <w:rPr>
          <w:rFonts w:ascii="Times New Roman" w:hAnsi="Times New Roman" w:eastAsia="Times New Roman" w:cs="Times New Roman"/>
          <w:sz w:val="20"/>
          <w:szCs w:val="20"/>
          <w:rtl w:val="0"/>
          <w:lang w:val="zh-CN"/>
        </w:rPr>
        <w:instrText xml:space="preserve"> HYPERLINK \l "ref-kuznets" \h </w:instrText>
      </w:r>
      <w:r>
        <w:rPr>
          <w:rFonts w:ascii="Times New Roman" w:hAnsi="Times New Roman" w:eastAsia="Times New Roman" w:cs="Times New Roman"/>
          <w:sz w:val="20"/>
          <w:szCs w:val="20"/>
          <w:rtl w:val="0"/>
          <w:lang w:val="zh-CN"/>
        </w:rPr>
        <w:fldChar w:fldCharType="separate"/>
      </w:r>
      <w:r>
        <w:rPr>
          <w:rFonts w:ascii="Times New Roman" w:hAnsi="Times New Roman" w:eastAsia="Times New Roman" w:cs="Times New Roman"/>
          <w:sz w:val="20"/>
          <w:szCs w:val="20"/>
          <w:rtl w:val="0"/>
          <w:lang w:val="zh-CN"/>
        </w:rPr>
        <w:t>1952</w:t>
      </w:r>
      <w:r>
        <w:rPr>
          <w:rFonts w:ascii="Times New Roman" w:hAnsi="Times New Roman" w:eastAsia="Times New Roman" w:cs="Times New Roman"/>
          <w:sz w:val="20"/>
          <w:szCs w:val="20"/>
          <w:rtl w:val="0"/>
          <w:lang w:val="zh-CN"/>
        </w:rPr>
        <w:fldChar w:fldCharType="end"/>
      </w:r>
      <w:r>
        <w:rPr>
          <w:rFonts w:ascii="Times New Roman" w:hAnsi="Times New Roman" w:eastAsia="Times New Roman" w:cs="Times New Roman"/>
          <w:sz w:val="20"/>
          <w:szCs w:val="20"/>
          <w:rtl w:val="0"/>
          <w:lang w:val="zh-CN"/>
        </w:rPr>
        <w:t xml:space="preserve">, p. 41) </w:t>
      </w:r>
      <w:r>
        <w:rPr>
          <w:rFonts w:ascii="Times New Roman" w:hAnsi="Times New Roman" w:eastAsia="Times New Roman" w:cs="Times New Roman"/>
          <w:i/>
          <w:iCs/>
          <w:sz w:val="20"/>
          <w:szCs w:val="20"/>
          <w:rtl w:val="0"/>
          <w:lang w:val="zh-CN"/>
        </w:rPr>
        <w:t>apud</w:t>
      </w:r>
      <w:r>
        <w:rPr>
          <w:rFonts w:ascii="Times New Roman" w:hAnsi="Times New Roman" w:eastAsia="Times New Roman" w:cs="Times New Roman"/>
          <w:sz w:val="20"/>
          <w:szCs w:val="20"/>
          <w:rtl w:val="0"/>
          <w:lang w:val="zh-CN"/>
        </w:rPr>
        <w:t xml:space="preserve"> RANGEL (</w:t>
      </w:r>
      <w:r>
        <w:rPr>
          <w:rFonts w:ascii="Times New Roman" w:hAnsi="Times New Roman" w:eastAsia="Times New Roman" w:cs="Times New Roman"/>
          <w:sz w:val="20"/>
          <w:szCs w:val="20"/>
          <w:rtl w:val="0"/>
          <w:lang w:val="zh-CN"/>
        </w:rPr>
        <w:fldChar w:fldCharType="begin"/>
      </w:r>
      <w:r>
        <w:rPr>
          <w:rFonts w:ascii="Times New Roman" w:hAnsi="Times New Roman" w:eastAsia="Times New Roman" w:cs="Times New Roman"/>
          <w:sz w:val="20"/>
          <w:szCs w:val="20"/>
          <w:rtl w:val="0"/>
          <w:lang w:val="zh-CN"/>
        </w:rPr>
        <w:instrText xml:space="preserve"> HYPERLINK \l "ref-rangel1956" \h </w:instrText>
      </w:r>
      <w:r>
        <w:rPr>
          <w:rFonts w:ascii="Times New Roman" w:hAnsi="Times New Roman" w:eastAsia="Times New Roman" w:cs="Times New Roman"/>
          <w:sz w:val="20"/>
          <w:szCs w:val="20"/>
          <w:rtl w:val="0"/>
          <w:lang w:val="zh-CN"/>
        </w:rPr>
        <w:fldChar w:fldCharType="separate"/>
      </w:r>
      <w:r>
        <w:rPr>
          <w:rFonts w:ascii="Times New Roman" w:hAnsi="Times New Roman" w:eastAsia="Times New Roman" w:cs="Times New Roman"/>
          <w:sz w:val="20"/>
          <w:szCs w:val="20"/>
          <w:rtl w:val="0"/>
          <w:lang w:val="zh-CN"/>
        </w:rPr>
        <w:t>2012</w:t>
      </w:r>
      <w:r>
        <w:rPr>
          <w:rFonts w:ascii="Times New Roman" w:hAnsi="Times New Roman" w:eastAsia="Times New Roman" w:cs="Times New Roman"/>
          <w:sz w:val="20"/>
          <w:szCs w:val="20"/>
          <w:rtl w:val="0"/>
          <w:lang w:val="zh-CN"/>
        </w:rPr>
        <w:fldChar w:fldCharType="end"/>
      </w:r>
      <w:r>
        <w:rPr>
          <w:rFonts w:ascii="Times New Roman" w:hAnsi="Times New Roman" w:eastAsia="Times New Roman" w:cs="Times New Roman"/>
          <w:sz w:val="20"/>
          <w:szCs w:val="20"/>
          <w:rtl w:val="0"/>
          <w:lang w:val="zh-CN"/>
        </w:rPr>
        <w:fldChar w:fldCharType="begin"/>
      </w:r>
      <w:r>
        <w:rPr>
          <w:rFonts w:ascii="Times New Roman" w:hAnsi="Times New Roman" w:eastAsia="Times New Roman" w:cs="Times New Roman"/>
          <w:sz w:val="20"/>
          <w:szCs w:val="20"/>
          <w:rtl w:val="0"/>
          <w:lang w:val="zh-CN"/>
        </w:rPr>
        <w:instrText xml:space="preserve"> HYPERLINK \l "ref-rangel1956" \h </w:instrText>
      </w:r>
      <w:r>
        <w:rPr>
          <w:rFonts w:ascii="Times New Roman" w:hAnsi="Times New Roman" w:eastAsia="Times New Roman" w:cs="Times New Roman"/>
          <w:sz w:val="20"/>
          <w:szCs w:val="20"/>
          <w:rtl w:val="0"/>
          <w:lang w:val="zh-CN"/>
        </w:rPr>
        <w:fldChar w:fldCharType="separate"/>
      </w:r>
      <w:r>
        <w:rPr>
          <w:rFonts w:ascii="Times New Roman" w:hAnsi="Times New Roman" w:eastAsia="Times New Roman" w:cs="Times New Roman"/>
          <w:sz w:val="20"/>
          <w:szCs w:val="20"/>
          <w:rtl w:val="0"/>
          <w:lang w:val="zh-CN"/>
        </w:rPr>
        <w:t>d</w:t>
      </w:r>
      <w:r>
        <w:rPr>
          <w:rFonts w:ascii="Times New Roman" w:hAnsi="Times New Roman" w:eastAsia="Times New Roman" w:cs="Times New Roman"/>
          <w:sz w:val="20"/>
          <w:szCs w:val="20"/>
          <w:rtl w:val="0"/>
          <w:lang w:val="zh-CN"/>
        </w:rPr>
        <w:fldChar w:fldCharType="end"/>
      </w:r>
      <w:r>
        <w:rPr>
          <w:rFonts w:ascii="Times New Roman" w:hAnsi="Times New Roman" w:eastAsia="Times New Roman" w:cs="Times New Roman"/>
          <w:sz w:val="20"/>
          <w:szCs w:val="20"/>
          <w:rtl w:val="0"/>
          <w:lang w:val="zh-CN"/>
        </w:rPr>
        <w:t>, p. 218))</w:t>
      </w:r>
    </w:p>
    <w:p>
      <w:pPr>
        <w:spacing w:after="200" w:line="240" w:lineRule="auto"/>
        <w:ind w:left="2880" w:firstLine="0"/>
        <w:jc w:val="both"/>
        <w:rPr>
          <w:rFonts w:ascii="Times New Roman" w:hAnsi="Times New Roman" w:eastAsia="Times New Roman" w:cs="Times New Roman"/>
          <w:sz w:val="20"/>
          <w:szCs w:val="20"/>
          <w:rtl w:val="0"/>
          <w:lang w:val="zh-CN"/>
        </w:rPr>
      </w:pPr>
    </w:p>
    <w:p>
      <w:pPr>
        <w:pStyle w:val="4"/>
        <w:bidi w:val="0"/>
        <w:ind w:firstLine="720" w:firstLineChars="0"/>
        <w:rPr>
          <w:rFonts w:hint="default" w:ascii="Times New Roman" w:hAnsi="Times New Roman" w:cs="Times New Roman"/>
          <w:color w:val="auto"/>
          <w:sz w:val="24"/>
          <w:szCs w:val="24"/>
          <w:lang w:val="pt-BR"/>
        </w:rPr>
      </w:pPr>
      <w:bookmarkStart w:id="3" w:name="feudalismo"/>
      <w:r>
        <w:rPr>
          <w:rFonts w:hint="default" w:ascii="Times New Roman" w:hAnsi="Times New Roman" w:cs="Times New Roman"/>
          <w:color w:val="auto"/>
          <w:sz w:val="24"/>
          <w:szCs w:val="24"/>
          <w:lang w:val="pt-BR"/>
        </w:rPr>
        <w:t xml:space="preserve">2.1 </w:t>
      </w:r>
      <w:r>
        <w:rPr>
          <w:rFonts w:hint="default" w:ascii="Times New Roman" w:hAnsi="Times New Roman" w:cs="Times New Roman"/>
          <w:color w:val="auto"/>
          <w:sz w:val="24"/>
          <w:szCs w:val="24"/>
        </w:rPr>
        <w:t>F</w:t>
      </w:r>
      <w:bookmarkEnd w:id="3"/>
      <w:r>
        <w:rPr>
          <w:rFonts w:hint="default" w:ascii="Times New Roman" w:hAnsi="Times New Roman" w:cs="Times New Roman"/>
          <w:color w:val="auto"/>
          <w:sz w:val="24"/>
          <w:szCs w:val="24"/>
          <w:lang w:val="pt-BR"/>
        </w:rPr>
        <w:t>eudalismo</w:t>
      </w:r>
    </w:p>
    <w:p>
      <w:pPr>
        <w:pStyle w:val="3"/>
        <w:rPr>
          <w:rFonts w:hint="default"/>
          <w:lang w:val="pt-BR"/>
        </w:rPr>
      </w:pP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 xml:space="preserve">As “leis” </w:t>
      </w:r>
      <w:r>
        <w:rPr>
          <w:rFonts w:hint="default" w:ascii="Times New Roman" w:hAnsi="Times New Roman" w:eastAsia="Times New Roman" w:cs="Times New Roman"/>
          <w:sz w:val="24"/>
          <w:szCs w:val="24"/>
          <w:rtl w:val="0"/>
          <w:lang w:val="pt-BR"/>
        </w:rPr>
        <w:t xml:space="preserve">ou “motores primários” </w:t>
      </w:r>
      <w:r>
        <w:rPr>
          <w:rFonts w:ascii="Times New Roman" w:hAnsi="Times New Roman" w:eastAsia="Times New Roman" w:cs="Times New Roman"/>
          <w:sz w:val="24"/>
          <w:szCs w:val="24"/>
          <w:rtl w:val="0"/>
          <w:lang w:val="zh-CN"/>
        </w:rPr>
        <w:t>que regem uma sociedade feudal são</w:t>
      </w:r>
      <w:r>
        <w:rPr>
          <w:rFonts w:hint="default" w:ascii="Times New Roman" w:hAnsi="Times New Roman" w:eastAsia="Times New Roman" w:cs="Times New Roman"/>
          <w:sz w:val="24"/>
          <w:szCs w:val="24"/>
          <w:rtl w:val="0"/>
          <w:lang w:val="pt-BR"/>
        </w:rPr>
        <w:t xml:space="preserve"> </w:t>
      </w:r>
      <w:r>
        <w:rPr>
          <w:rFonts w:ascii="Times New Roman" w:hAnsi="Times New Roman" w:eastAsia="Times New Roman" w:cs="Times New Roman"/>
          <w:sz w:val="24"/>
          <w:szCs w:val="24"/>
          <w:rtl w:val="0"/>
          <w:lang w:val="zh-CN"/>
        </w:rPr>
        <w:t xml:space="preserve">(RANGEL,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"ref-rangel1960"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hint="default" w:ascii="Times New Roman" w:hAnsi="Times New Roman" w:eastAsia="Times New Roman" w:cs="Times New Roman"/>
          <w:sz w:val="24"/>
          <w:szCs w:val="24"/>
          <w:rtl w:val="0"/>
          <w:lang w:val="pt-BR"/>
        </w:rPr>
        <w:t>e</w:t>
      </w:r>
      <w:r>
        <w:rPr>
          <w:rFonts w:ascii="Times New Roman" w:hAnsi="Times New Roman" w:eastAsia="Times New Roman" w:cs="Times New Roman"/>
          <w:sz w:val="24"/>
          <w:szCs w:val="24"/>
          <w:rtl w:val="0"/>
          <w:lang w:val="zh-CN"/>
        </w:rPr>
        <w:t>, p.</w:t>
      </w:r>
      <w:r>
        <w:rPr>
          <w:rFonts w:hint="default" w:ascii="Times New Roman" w:hAnsi="Times New Roman" w:eastAsia="Times New Roman" w:cs="Times New Roman"/>
          <w:sz w:val="24"/>
          <w:szCs w:val="24"/>
          <w:rtl w:val="0"/>
          <w:lang w:val="pt-BR"/>
        </w:rPr>
        <w:t>126</w:t>
      </w:r>
      <w:r>
        <w:rPr>
          <w:rFonts w:ascii="Times New Roman" w:hAnsi="Times New Roman" w:eastAsia="Times New Roman" w:cs="Times New Roman"/>
          <w:sz w:val="24"/>
          <w:szCs w:val="24"/>
          <w:rtl w:val="0"/>
          <w:lang w:val="zh-CN"/>
        </w:rPr>
        <w:t>):</w:t>
      </w:r>
    </w:p>
    <w:p>
      <w:pPr>
        <w:numPr>
          <w:ilvl w:val="0"/>
          <w:numId w:val="2"/>
        </w:numPr>
        <w:spacing w:before="0" w:after="0" w:line="360" w:lineRule="auto"/>
        <w:ind w:left="420" w:leftChars="0" w:hanging="420" w:firstLineChars="0"/>
        <w:jc w:val="both"/>
        <w:rPr>
          <w:rFonts w:ascii="Times New Roman" w:hAnsi="Times New Roman" w:eastAsia="Times New Roman" w:cs="Times New Roman"/>
          <w:i/>
          <w:iCs/>
          <w:sz w:val="24"/>
          <w:szCs w:val="24"/>
          <w:rtl w:val="0"/>
          <w:lang w:val="zh-CN"/>
        </w:rPr>
      </w:pPr>
      <w:r>
        <w:rPr>
          <w:rFonts w:ascii="Times New Roman" w:hAnsi="Times New Roman" w:eastAsia="Times New Roman" w:cs="Times New Roman"/>
          <w:i/>
          <w:iCs/>
          <w:sz w:val="24"/>
          <w:szCs w:val="24"/>
          <w:rtl w:val="0"/>
          <w:lang w:val="zh-CN"/>
        </w:rPr>
        <w:t>All land is king’s land</w:t>
      </w:r>
    </w:p>
    <w:p>
      <w:pPr>
        <w:numPr>
          <w:ilvl w:val="0"/>
          <w:numId w:val="2"/>
        </w:numPr>
        <w:spacing w:before="0" w:after="0" w:line="360" w:lineRule="auto"/>
        <w:ind w:left="420" w:leftChars="0" w:hanging="420" w:firstLineChars="0"/>
        <w:jc w:val="both"/>
        <w:rPr>
          <w:rFonts w:ascii="Times New Roman" w:hAnsi="Times New Roman" w:eastAsia="Times New Roman" w:cs="Times New Roman"/>
          <w:i/>
          <w:iCs/>
          <w:sz w:val="24"/>
          <w:szCs w:val="24"/>
          <w:rtl w:val="0"/>
          <w:lang w:val="zh-CN"/>
        </w:rPr>
      </w:pPr>
      <w:r>
        <w:rPr>
          <w:rFonts w:ascii="Times New Roman" w:hAnsi="Times New Roman" w:eastAsia="Times New Roman" w:cs="Times New Roman"/>
          <w:i/>
          <w:iCs/>
          <w:sz w:val="24"/>
          <w:szCs w:val="24"/>
          <w:rtl w:val="0"/>
          <w:lang w:val="zh-CN"/>
        </w:rPr>
        <w:t>Nulle terre sans seigneur</w:t>
      </w:r>
    </w:p>
    <w:p>
      <w:pPr>
        <w:pStyle w:val="3"/>
        <w:rPr>
          <w:rFonts w:hint="default"/>
          <w:highlight w:val="yellow"/>
          <w:lang w:val="pt-BR"/>
        </w:rPr>
      </w:pPr>
      <w:r>
        <w:rPr>
          <w:rFonts w:hint="default"/>
          <w:highlight w:val="yellow"/>
          <w:lang w:val="pt-BR"/>
        </w:rPr>
        <w:t xml:space="preserve">Valorização da terra: ver p. 65 e 93, volume 2. </w:t>
      </w:r>
    </w:p>
    <w:p>
      <w:pPr>
        <w:spacing w:before="0" w:after="0" w:line="360" w:lineRule="auto"/>
        <w:ind w:firstLine="708"/>
        <w:jc w:val="both"/>
        <w:rPr>
          <w:rFonts w:hint="default" w:ascii="Times New Roman" w:hAnsi="Times New Roman" w:eastAsia="Times New Roman" w:cs="Times New Roman"/>
          <w:sz w:val="24"/>
          <w:szCs w:val="24"/>
          <w:rtl w:val="0"/>
          <w:lang w:val="pt-BR"/>
        </w:rPr>
      </w:pPr>
      <w:r>
        <w:rPr>
          <w:rFonts w:ascii="Times New Roman" w:hAnsi="Times New Roman" w:eastAsia="Times New Roman" w:cs="Times New Roman"/>
          <w:sz w:val="24"/>
          <w:szCs w:val="24"/>
          <w:rtl w:val="0"/>
          <w:lang w:val="zh-CN"/>
        </w:rPr>
        <w:t>No feudalismo, tipo de organização social que historicamente antecede o capitalismo, toda terra está concentrada nas mãos do rei.</w:t>
      </w:r>
      <w:r>
        <w:rPr>
          <w:rFonts w:hint="default" w:ascii="Times New Roman" w:hAnsi="Times New Roman" w:eastAsia="Times New Roman" w:cs="Times New Roman"/>
          <w:sz w:val="24"/>
          <w:szCs w:val="24"/>
          <w:rtl w:val="0"/>
          <w:lang w:val="pt-BR"/>
        </w:rPr>
        <w:t xml:space="preserve"> </w:t>
      </w:r>
      <w:r>
        <w:rPr>
          <w:rFonts w:ascii="Times New Roman" w:hAnsi="Times New Roman" w:eastAsia="Times New Roman" w:cs="Times New Roman"/>
          <w:sz w:val="24"/>
          <w:szCs w:val="24"/>
          <w:rtl w:val="0"/>
          <w:lang w:val="zh-CN"/>
        </w:rPr>
        <w:t>Segundo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"ref-rangel1961"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"ref-rangel1961"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e</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xml:space="preserve">, p. 219), “a existência de terra livre é incompatível com o feudalismo”, e , por conta disto, “nas condições feudais, </w:t>
      </w:r>
      <w:r>
        <w:rPr>
          <w:rFonts w:hint="default" w:ascii="Times New Roman" w:hAnsi="Times New Roman" w:eastAsia="Times New Roman" w:cs="Times New Roman"/>
          <w:sz w:val="24"/>
          <w:szCs w:val="24"/>
          <w:rtl w:val="0"/>
          <w:lang w:val="pt-BR"/>
        </w:rPr>
        <w:t xml:space="preserve">(a terra) </w:t>
      </w:r>
      <w:r>
        <w:rPr>
          <w:rFonts w:ascii="Times New Roman" w:hAnsi="Times New Roman" w:eastAsia="Times New Roman" w:cs="Times New Roman"/>
          <w:sz w:val="24"/>
          <w:szCs w:val="24"/>
          <w:rtl w:val="0"/>
          <w:lang w:val="zh-CN"/>
        </w:rPr>
        <w:t xml:space="preserve">não tem preço e é, de fato ou de direito, inalienável”(RANGEL,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"ref-rangel1960"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"ref-rangel1960"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f</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 206).</w:t>
      </w:r>
    </w:p>
    <w:p>
      <w:pPr>
        <w:pStyle w:val="4"/>
        <w:bidi w:val="0"/>
        <w:ind w:firstLine="720" w:firstLineChars="0"/>
        <w:rPr>
          <w:rFonts w:hint="default" w:ascii="Times New Roman" w:hAnsi="Times New Roman" w:cs="Times New Roman"/>
          <w:color w:val="auto"/>
          <w:sz w:val="24"/>
          <w:szCs w:val="24"/>
          <w:lang w:val="pt-BR"/>
        </w:rPr>
      </w:pPr>
      <w:bookmarkStart w:id="4" w:name="a-crise-do-feudalismo"/>
      <w:r>
        <w:rPr>
          <w:rFonts w:hint="default" w:ascii="Times New Roman" w:hAnsi="Times New Roman" w:cs="Times New Roman"/>
          <w:color w:val="auto"/>
          <w:sz w:val="24"/>
          <w:szCs w:val="24"/>
          <w:lang w:val="pt-BR"/>
        </w:rPr>
        <w:t>2.2 A crise do feudalismo</w:t>
      </w:r>
      <w:bookmarkEnd w:id="4"/>
    </w:p>
    <w:p>
      <w:pPr>
        <w:pStyle w:val="3"/>
        <w:rPr>
          <w:rFonts w:hint="default"/>
          <w:lang w:val="pt-BR"/>
        </w:rPr>
      </w:pP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A sociedade feudal entra em crise quando a produção agrícola não consegue suprir a demanda da superpopulação gerada.</w:t>
      </w:r>
      <w:r>
        <w:rPr>
          <w:rFonts w:hint="default" w:ascii="Times New Roman" w:hAnsi="Times New Roman" w:eastAsia="Times New Roman" w:cs="Times New Roman"/>
          <w:sz w:val="24"/>
          <w:szCs w:val="24"/>
          <w:rtl w:val="0"/>
          <w:lang w:val="pt-BR"/>
        </w:rPr>
        <w:t xml:space="preserve"> </w:t>
      </w:r>
      <w:r>
        <w:rPr>
          <w:rFonts w:ascii="Times New Roman" w:hAnsi="Times New Roman" w:eastAsia="Times New Roman" w:cs="Times New Roman"/>
          <w:sz w:val="24"/>
          <w:szCs w:val="24"/>
          <w:rtl w:val="0"/>
          <w:lang w:val="zh-CN"/>
        </w:rPr>
        <w:t>Segundo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"ref-rangel1961"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"ref-rangel1961"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e</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 219), “tempo houve em que a expansão do estoque populacional era objetivamente a maneira mais eficaz de expandir as forças produtivas e o produto social. Nesse tempo (regime feudal), a riqueza dos príncipes se media pelas almas dos seus domínios, e aumentar o número destas era a maneira óbvia de expandir aquela r</w:t>
      </w:r>
      <w:bookmarkStart w:id="23" w:name="_GoBack"/>
      <w:bookmarkEnd w:id="23"/>
      <w:r>
        <w:rPr>
          <w:rFonts w:ascii="Times New Roman" w:hAnsi="Times New Roman" w:eastAsia="Times New Roman" w:cs="Times New Roman"/>
          <w:sz w:val="24"/>
          <w:szCs w:val="24"/>
          <w:rtl w:val="0"/>
          <w:lang w:val="zh-CN"/>
        </w:rPr>
        <w:t>iqueza e também a do corpo social. Este foi forjando para si uma ética, um direito e uma política conducentes a esse resu</w:t>
      </w:r>
      <w:r>
        <w:rPr>
          <w:rFonts w:hint="default" w:ascii="Times New Roman" w:hAnsi="Times New Roman" w:eastAsia="Times New Roman" w:cs="Times New Roman"/>
          <w:sz w:val="24"/>
          <w:szCs w:val="24"/>
          <w:rtl w:val="0"/>
          <w:lang w:val="pt-BR"/>
        </w:rPr>
        <w:t>l</w:t>
      </w:r>
      <w:r>
        <w:rPr>
          <w:rFonts w:ascii="Times New Roman" w:hAnsi="Times New Roman" w:eastAsia="Times New Roman" w:cs="Times New Roman"/>
          <w:sz w:val="24"/>
          <w:szCs w:val="24"/>
          <w:rtl w:val="0"/>
          <w:lang w:val="zh-CN"/>
        </w:rPr>
        <w:t>tado”.</w:t>
      </w:r>
    </w:p>
    <w:p>
      <w:pPr>
        <w:pStyle w:val="4"/>
        <w:bidi w:val="0"/>
        <w:ind w:firstLine="720" w:firstLineChars="0"/>
        <w:rPr>
          <w:rFonts w:hint="default" w:ascii="Times New Roman" w:hAnsi="Times New Roman" w:cs="Times New Roman"/>
          <w:color w:val="auto"/>
          <w:sz w:val="24"/>
          <w:szCs w:val="24"/>
          <w:lang w:val="pt-BR"/>
        </w:rPr>
      </w:pPr>
      <w:bookmarkStart w:id="5" w:name="o-complexo-rural"/>
      <w:r>
        <w:rPr>
          <w:rFonts w:hint="default" w:ascii="Times New Roman" w:hAnsi="Times New Roman" w:cs="Times New Roman"/>
          <w:color w:val="auto"/>
          <w:sz w:val="24"/>
          <w:szCs w:val="24"/>
          <w:lang w:val="pt-BR"/>
        </w:rPr>
        <w:t>2.3 O Complexo Rural</w:t>
      </w:r>
      <w:bookmarkEnd w:id="5"/>
    </w:p>
    <w:p>
      <w:pPr>
        <w:pStyle w:val="3"/>
        <w:rPr>
          <w:rFonts w:hint="default"/>
          <w:lang w:val="pt-BR"/>
        </w:rPr>
      </w:pPr>
    </w:p>
    <w:p>
      <w:pPr>
        <w:spacing w:after="200" w:line="240" w:lineRule="auto"/>
        <w:ind w:left="2880" w:firstLine="0"/>
        <w:jc w:val="both"/>
        <w:rPr>
          <w:rFonts w:ascii="Times New Roman" w:hAnsi="Times New Roman" w:eastAsia="Times New Roman" w:cs="Times New Roman"/>
          <w:sz w:val="20"/>
          <w:szCs w:val="20"/>
          <w:rtl w:val="0"/>
          <w:lang w:val="zh-CN"/>
        </w:rPr>
      </w:pPr>
      <w:r>
        <w:rPr>
          <w:rFonts w:ascii="Times New Roman" w:hAnsi="Times New Roman" w:eastAsia="Times New Roman" w:cs="Times New Roman"/>
          <w:sz w:val="20"/>
          <w:szCs w:val="20"/>
          <w:rtl w:val="0"/>
          <w:lang w:val="zh-CN"/>
        </w:rPr>
        <w:t>A população de um páis de economia mercantil debilmente desenvolvida (ou não densevolvida de todo) é quase exclusivamente agrícola. Todavia, não se deve deduzir daí que ela se ocupa só da agricultura. Significa apenas que a população ocupada na agricultura transforma, ela mesma, os produtos da terra, sendo quase inexistentes o intercâmbio e a divisão do trabalho. (LENIN apud RANGEL (</w:t>
      </w:r>
      <w:r>
        <w:rPr>
          <w:rFonts w:ascii="Times New Roman" w:hAnsi="Times New Roman" w:eastAsia="Times New Roman" w:cs="Times New Roman"/>
          <w:sz w:val="20"/>
          <w:szCs w:val="20"/>
          <w:rtl w:val="0"/>
          <w:lang w:val="zh-CN"/>
        </w:rPr>
        <w:fldChar w:fldCharType="begin"/>
      </w:r>
      <w:r>
        <w:rPr>
          <w:rFonts w:ascii="Times New Roman" w:hAnsi="Times New Roman" w:eastAsia="Times New Roman" w:cs="Times New Roman"/>
          <w:sz w:val="20"/>
          <w:szCs w:val="20"/>
          <w:rtl w:val="0"/>
          <w:lang w:val="zh-CN"/>
        </w:rPr>
        <w:instrText xml:space="preserve"> HYPERLINK \l "ref-rangel1954" \h </w:instrText>
      </w:r>
      <w:r>
        <w:rPr>
          <w:rFonts w:ascii="Times New Roman" w:hAnsi="Times New Roman" w:eastAsia="Times New Roman" w:cs="Times New Roman"/>
          <w:sz w:val="20"/>
          <w:szCs w:val="20"/>
          <w:rtl w:val="0"/>
          <w:lang w:val="zh-CN"/>
        </w:rPr>
        <w:fldChar w:fldCharType="separate"/>
      </w:r>
      <w:r>
        <w:rPr>
          <w:rFonts w:ascii="Times New Roman" w:hAnsi="Times New Roman" w:eastAsia="Times New Roman" w:cs="Times New Roman"/>
          <w:sz w:val="20"/>
          <w:szCs w:val="20"/>
          <w:rtl w:val="0"/>
          <w:lang w:val="zh-CN"/>
        </w:rPr>
        <w:t>2012</w:t>
      </w:r>
      <w:r>
        <w:rPr>
          <w:rFonts w:ascii="Times New Roman" w:hAnsi="Times New Roman" w:eastAsia="Times New Roman" w:cs="Times New Roman"/>
          <w:sz w:val="20"/>
          <w:szCs w:val="20"/>
          <w:rtl w:val="0"/>
          <w:lang w:val="zh-CN"/>
        </w:rPr>
        <w:fldChar w:fldCharType="end"/>
      </w:r>
      <w:r>
        <w:rPr>
          <w:rFonts w:ascii="Times New Roman" w:hAnsi="Times New Roman" w:eastAsia="Times New Roman" w:cs="Times New Roman"/>
          <w:sz w:val="20"/>
          <w:szCs w:val="20"/>
          <w:rtl w:val="0"/>
          <w:lang w:val="zh-CN"/>
        </w:rPr>
        <w:fldChar w:fldCharType="begin"/>
      </w:r>
      <w:r>
        <w:rPr>
          <w:rFonts w:ascii="Times New Roman" w:hAnsi="Times New Roman" w:eastAsia="Times New Roman" w:cs="Times New Roman"/>
          <w:sz w:val="20"/>
          <w:szCs w:val="20"/>
          <w:rtl w:val="0"/>
          <w:lang w:val="zh-CN"/>
        </w:rPr>
        <w:instrText xml:space="preserve"> HYPERLINK \l "ref-rangel1954" \h </w:instrText>
      </w:r>
      <w:r>
        <w:rPr>
          <w:rFonts w:ascii="Times New Roman" w:hAnsi="Times New Roman" w:eastAsia="Times New Roman" w:cs="Times New Roman"/>
          <w:sz w:val="20"/>
          <w:szCs w:val="20"/>
          <w:rtl w:val="0"/>
          <w:lang w:val="zh-CN"/>
        </w:rPr>
        <w:fldChar w:fldCharType="separate"/>
      </w:r>
      <w:r>
        <w:rPr>
          <w:rFonts w:ascii="Times New Roman" w:hAnsi="Times New Roman" w:eastAsia="Times New Roman" w:cs="Times New Roman"/>
          <w:sz w:val="20"/>
          <w:szCs w:val="20"/>
          <w:rtl w:val="0"/>
          <w:lang w:val="zh-CN"/>
        </w:rPr>
        <w:t>a</w:t>
      </w:r>
      <w:r>
        <w:rPr>
          <w:rFonts w:ascii="Times New Roman" w:hAnsi="Times New Roman" w:eastAsia="Times New Roman" w:cs="Times New Roman"/>
          <w:sz w:val="20"/>
          <w:szCs w:val="20"/>
          <w:rtl w:val="0"/>
          <w:lang w:val="zh-CN"/>
        </w:rPr>
        <w:fldChar w:fldCharType="end"/>
      </w:r>
      <w:r>
        <w:rPr>
          <w:rFonts w:ascii="Times New Roman" w:hAnsi="Times New Roman" w:eastAsia="Times New Roman" w:cs="Times New Roman"/>
          <w:sz w:val="20"/>
          <w:szCs w:val="20"/>
          <w:rtl w:val="0"/>
          <w:lang w:val="zh-CN"/>
        </w:rPr>
        <w:t>, p. 99))</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Segundo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"ref-rangel1956"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"ref-rangel1956"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d</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 98), a unidade agrícola fechada é “um microcosmo econômico no qual as pessoas distribuem seu tempo entre numerosas atividades. Cada uma dessas atividades representa o estado rudimentar daquilo que, com o desenvolvimento, se tornará uma ‘indústria’ (…) É evidente que o camponês não tem consciência da multiplicidade de suas atividades. Ele considera que elas formam um todo indivisível. Essa inespecialização é sua especialidade. (…) Chamaremos esse microcosmo econômico, essa ‘matriz de insumo-produto’ em miniatura, de ‘complexo rural’”.</w:t>
      </w:r>
    </w:p>
    <w:p>
      <w:pPr>
        <w:pStyle w:val="5"/>
        <w:bidi w:val="0"/>
        <w:rPr>
          <w:rFonts w:hint="default" w:ascii="Times New Roman" w:hAnsi="Times New Roman" w:cs="Times New Roman"/>
          <w:color w:val="auto"/>
          <w:sz w:val="24"/>
          <w:szCs w:val="24"/>
          <w:lang w:val="pt-BR"/>
        </w:rPr>
      </w:pPr>
      <w:bookmarkStart w:id="6" w:name="X5cabb88d0b70ba787f39bbad4f3c495938fbeb9"/>
      <w:r>
        <w:rPr>
          <w:rFonts w:hint="default" w:ascii="Times New Roman" w:hAnsi="Times New Roman" w:cs="Times New Roman"/>
          <w:color w:val="auto"/>
          <w:sz w:val="24"/>
          <w:szCs w:val="24"/>
          <w:lang w:val="pt-BR"/>
        </w:rPr>
        <w:t>2.4.1 Condições e Métodos de abertura do Complexo Rural</w:t>
      </w:r>
      <w:bookmarkEnd w:id="6"/>
    </w:p>
    <w:p>
      <w:pPr>
        <w:pStyle w:val="3"/>
        <w:rPr>
          <w:rFonts w:hint="default"/>
          <w:lang w:val="pt-BR"/>
        </w:rPr>
      </w:pPr>
    </w:p>
    <w:p>
      <w:pPr>
        <w:spacing w:after="200" w:line="240" w:lineRule="auto"/>
        <w:ind w:left="2880" w:firstLine="0"/>
        <w:jc w:val="both"/>
        <w:rPr>
          <w:rFonts w:ascii="Times New Roman" w:hAnsi="Times New Roman" w:eastAsia="Times New Roman" w:cs="Times New Roman"/>
          <w:sz w:val="20"/>
          <w:szCs w:val="20"/>
          <w:rtl w:val="0"/>
          <w:lang w:val="zh-CN"/>
        </w:rPr>
      </w:pPr>
      <w:r>
        <w:rPr>
          <w:rFonts w:ascii="Times New Roman" w:hAnsi="Times New Roman" w:eastAsia="Times New Roman" w:cs="Times New Roman"/>
          <w:sz w:val="20"/>
          <w:szCs w:val="20"/>
          <w:rtl w:val="0"/>
          <w:lang w:val="zh-CN"/>
        </w:rPr>
        <w:t xml:space="preserve">A Abertura do Complexo Rural não é uma operação momentânea, mas sim um largo processo, com altos e baixos e problemas sempre novos. Sua história está muito longe de ser idílica. Ao contrário, está cheia de violência. Uma planificação econômica que não resolva preliminarmente este problema é inconcebível. Alternadamente, pode conduzir à liberação de mais fatores que aqueles que os setores não agrícolas podem usar, fazendo toda a economia submergir em uma crise profunda, ou condenar esses setores à estagnação por insuficiência de fatores.(RANGEL, </w:t>
      </w:r>
      <w:r>
        <w:rPr>
          <w:rFonts w:ascii="Times New Roman" w:hAnsi="Times New Roman" w:eastAsia="Times New Roman" w:cs="Times New Roman"/>
          <w:sz w:val="20"/>
          <w:szCs w:val="20"/>
          <w:rtl w:val="0"/>
          <w:lang w:val="zh-CN"/>
        </w:rPr>
        <w:fldChar w:fldCharType="begin"/>
      </w:r>
      <w:r>
        <w:rPr>
          <w:rFonts w:ascii="Times New Roman" w:hAnsi="Times New Roman" w:eastAsia="Times New Roman" w:cs="Times New Roman"/>
          <w:sz w:val="20"/>
          <w:szCs w:val="20"/>
          <w:rtl w:val="0"/>
          <w:lang w:val="zh-CN"/>
        </w:rPr>
        <w:instrText xml:space="preserve"> HYPERLINK \l "ref-rangel1954" \h </w:instrText>
      </w:r>
      <w:r>
        <w:rPr>
          <w:rFonts w:ascii="Times New Roman" w:hAnsi="Times New Roman" w:eastAsia="Times New Roman" w:cs="Times New Roman"/>
          <w:sz w:val="20"/>
          <w:szCs w:val="20"/>
          <w:rtl w:val="0"/>
          <w:lang w:val="zh-CN"/>
        </w:rPr>
        <w:fldChar w:fldCharType="separate"/>
      </w:r>
      <w:r>
        <w:rPr>
          <w:rFonts w:ascii="Times New Roman" w:hAnsi="Times New Roman" w:eastAsia="Times New Roman" w:cs="Times New Roman"/>
          <w:sz w:val="20"/>
          <w:szCs w:val="20"/>
          <w:rtl w:val="0"/>
          <w:lang w:val="zh-CN"/>
        </w:rPr>
        <w:t>2012</w:t>
      </w:r>
      <w:r>
        <w:rPr>
          <w:rFonts w:ascii="Times New Roman" w:hAnsi="Times New Roman" w:eastAsia="Times New Roman" w:cs="Times New Roman"/>
          <w:sz w:val="20"/>
          <w:szCs w:val="20"/>
          <w:rtl w:val="0"/>
          <w:lang w:val="zh-CN"/>
        </w:rPr>
        <w:fldChar w:fldCharType="end"/>
      </w:r>
      <w:r>
        <w:rPr>
          <w:rFonts w:ascii="Times New Roman" w:hAnsi="Times New Roman" w:eastAsia="Times New Roman" w:cs="Times New Roman"/>
          <w:sz w:val="20"/>
          <w:szCs w:val="20"/>
          <w:rtl w:val="0"/>
          <w:lang w:val="zh-CN"/>
        </w:rPr>
        <w:fldChar w:fldCharType="begin"/>
      </w:r>
      <w:r>
        <w:rPr>
          <w:rFonts w:ascii="Times New Roman" w:hAnsi="Times New Roman" w:eastAsia="Times New Roman" w:cs="Times New Roman"/>
          <w:sz w:val="20"/>
          <w:szCs w:val="20"/>
          <w:rtl w:val="0"/>
          <w:lang w:val="zh-CN"/>
        </w:rPr>
        <w:instrText xml:space="preserve"> HYPERLINK \l "ref-rangel1954" \h </w:instrText>
      </w:r>
      <w:r>
        <w:rPr>
          <w:rFonts w:ascii="Times New Roman" w:hAnsi="Times New Roman" w:eastAsia="Times New Roman" w:cs="Times New Roman"/>
          <w:sz w:val="20"/>
          <w:szCs w:val="20"/>
          <w:rtl w:val="0"/>
          <w:lang w:val="zh-CN"/>
        </w:rPr>
        <w:fldChar w:fldCharType="separate"/>
      </w:r>
      <w:r>
        <w:rPr>
          <w:rFonts w:ascii="Times New Roman" w:hAnsi="Times New Roman" w:eastAsia="Times New Roman" w:cs="Times New Roman"/>
          <w:sz w:val="20"/>
          <w:szCs w:val="20"/>
          <w:rtl w:val="0"/>
          <w:lang w:val="zh-CN"/>
        </w:rPr>
        <w:t>a</w:t>
      </w:r>
      <w:r>
        <w:rPr>
          <w:rFonts w:ascii="Times New Roman" w:hAnsi="Times New Roman" w:eastAsia="Times New Roman" w:cs="Times New Roman"/>
          <w:sz w:val="20"/>
          <w:szCs w:val="20"/>
          <w:rtl w:val="0"/>
          <w:lang w:val="zh-CN"/>
        </w:rPr>
        <w:fldChar w:fldCharType="end"/>
      </w:r>
      <w:r>
        <w:rPr>
          <w:rFonts w:ascii="Times New Roman" w:hAnsi="Times New Roman" w:eastAsia="Times New Roman" w:cs="Times New Roman"/>
          <w:sz w:val="20"/>
          <w:szCs w:val="20"/>
          <w:rtl w:val="0"/>
          <w:lang w:val="zh-CN"/>
        </w:rPr>
        <w:t>, p. 118)</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Para a abertura do Complexo Rural é necessário que haja vantajosidade para a economia de mercado e para a economia natural do próprio Complexo.</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 xml:space="preserve">As medidas tendentes a romper o complexo rural podem ser classificadas em dois grupos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"ref-rangel1954"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"ref-rangel1954"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a</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 113):</w:t>
      </w:r>
    </w:p>
    <w:p>
      <w:pPr>
        <w:numPr>
          <w:ilvl w:val="0"/>
          <w:numId w:val="3"/>
        </w:numPr>
        <w:spacing w:before="0" w:after="0" w:line="360" w:lineRule="auto"/>
        <w:ind w:left="425" w:leftChars="0" w:hanging="425" w:firstLineChars="0"/>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as que oferecem um incentivo positivo para a incorporação, à economia de mercado, dos fatores usados pelo complexo e;</w:t>
      </w:r>
    </w:p>
    <w:p>
      <w:pPr>
        <w:numPr>
          <w:ilvl w:val="0"/>
          <w:numId w:val="3"/>
        </w:numPr>
        <w:spacing w:before="0" w:after="0" w:line="360" w:lineRule="auto"/>
        <w:ind w:left="425" w:leftChars="0" w:hanging="425" w:firstLineChars="0"/>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as que buscam forçar a abertura do complexo a partir de dentro, provocando uma deterioração da produtividade das atividades manufatureiras dentro do complexo.</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 xml:space="preserve">As medidas do tipo a) tem seu exemplo mais típico nos EUA e também na França, enquanto as medidas do tipo b) predominaram na Inglaterra, Alemanha e Japão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"ref-rangel1954"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"ref-rangel1954"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a</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pp. 114–115).</w:t>
      </w:r>
    </w:p>
    <w:p>
      <w:pPr>
        <w:pStyle w:val="5"/>
        <w:bidi w:val="0"/>
        <w:rPr>
          <w:rFonts w:hint="default" w:ascii="Times New Roman" w:hAnsi="Times New Roman" w:cs="Times New Roman"/>
          <w:color w:val="auto"/>
          <w:sz w:val="24"/>
          <w:szCs w:val="24"/>
          <w:lang w:val="pt-BR"/>
        </w:rPr>
      </w:pPr>
      <w:bookmarkStart w:id="7" w:name="exodo-rural-e-industrializacao"/>
      <w:r>
        <w:rPr>
          <w:rFonts w:hint="default" w:ascii="Times New Roman" w:hAnsi="Times New Roman" w:cs="Times New Roman"/>
          <w:color w:val="auto"/>
          <w:sz w:val="24"/>
          <w:szCs w:val="24"/>
          <w:lang w:val="pt-BR"/>
        </w:rPr>
        <w:t>2.4.2 Êxodo rural e industrialização</w:t>
      </w:r>
      <w:bookmarkEnd w:id="7"/>
    </w:p>
    <w:p>
      <w:pPr>
        <w:spacing w:after="200" w:line="240" w:lineRule="auto"/>
        <w:ind w:left="2880" w:firstLine="0"/>
        <w:jc w:val="both"/>
        <w:rPr>
          <w:rFonts w:ascii="Times New Roman" w:hAnsi="Times New Roman" w:eastAsia="Times New Roman" w:cs="Times New Roman"/>
          <w:sz w:val="20"/>
          <w:szCs w:val="20"/>
          <w:rtl w:val="0"/>
          <w:lang w:val="zh-CN"/>
        </w:rPr>
      </w:pPr>
      <w:r>
        <w:rPr>
          <w:rFonts w:ascii="Times New Roman" w:hAnsi="Times New Roman" w:eastAsia="Times New Roman" w:cs="Times New Roman"/>
          <w:sz w:val="20"/>
          <w:szCs w:val="20"/>
          <w:rtl w:val="0"/>
          <w:lang w:val="zh-CN"/>
        </w:rPr>
        <w:t xml:space="preserve">A revolução democrático-burguesa, nos casos em que a gleba feudal é – como aconteceu na Europa Ocidental (principalmente, na França) e nos Estados Unidos – substituída pela pequena propriedade familiar ou homestead, ao fortalecer as bases da economia natural ou de autoconsumo, resolve satisfatoriamente o problema na absorção dos excedentes de mão-de-obra no seio da própria economia camponesa, estancando ou reduzindo drasticamente o fluxo populacional responsálve pelo êxodo campo-cidade (RANGEL, </w:t>
      </w:r>
      <w:r>
        <w:rPr>
          <w:rFonts w:ascii="Times New Roman" w:hAnsi="Times New Roman" w:eastAsia="Times New Roman" w:cs="Times New Roman"/>
          <w:sz w:val="20"/>
          <w:szCs w:val="20"/>
          <w:rtl w:val="0"/>
          <w:lang w:val="zh-CN"/>
        </w:rPr>
        <w:fldChar w:fldCharType="begin"/>
      </w:r>
      <w:r>
        <w:rPr>
          <w:rFonts w:ascii="Times New Roman" w:hAnsi="Times New Roman" w:eastAsia="Times New Roman" w:cs="Times New Roman"/>
          <w:sz w:val="20"/>
          <w:szCs w:val="20"/>
          <w:rtl w:val="0"/>
          <w:lang w:val="zh-CN"/>
        </w:rPr>
        <w:instrText xml:space="preserve"> HYPERLINK \l "ref-rangel1986b" \h </w:instrText>
      </w:r>
      <w:r>
        <w:rPr>
          <w:rFonts w:ascii="Times New Roman" w:hAnsi="Times New Roman" w:eastAsia="Times New Roman" w:cs="Times New Roman"/>
          <w:sz w:val="20"/>
          <w:szCs w:val="20"/>
          <w:rtl w:val="0"/>
          <w:lang w:val="zh-CN"/>
        </w:rPr>
        <w:fldChar w:fldCharType="separate"/>
      </w:r>
      <w:r>
        <w:rPr>
          <w:rFonts w:ascii="Times New Roman" w:hAnsi="Times New Roman" w:eastAsia="Times New Roman" w:cs="Times New Roman"/>
          <w:sz w:val="20"/>
          <w:szCs w:val="20"/>
          <w:rtl w:val="0"/>
          <w:lang w:val="zh-CN"/>
        </w:rPr>
        <w:t>2012</w:t>
      </w:r>
      <w:r>
        <w:rPr>
          <w:rFonts w:ascii="Times New Roman" w:hAnsi="Times New Roman" w:eastAsia="Times New Roman" w:cs="Times New Roman"/>
          <w:sz w:val="20"/>
          <w:szCs w:val="20"/>
          <w:rtl w:val="0"/>
          <w:lang w:val="zh-CN"/>
        </w:rPr>
        <w:fldChar w:fldCharType="end"/>
      </w:r>
      <w:r>
        <w:rPr>
          <w:rFonts w:ascii="Times New Roman" w:hAnsi="Times New Roman" w:eastAsia="Times New Roman" w:cs="Times New Roman"/>
          <w:sz w:val="20"/>
          <w:szCs w:val="20"/>
          <w:rtl w:val="0"/>
          <w:lang w:val="zh-CN"/>
        </w:rPr>
        <w:fldChar w:fldCharType="begin"/>
      </w:r>
      <w:r>
        <w:rPr>
          <w:rFonts w:ascii="Times New Roman" w:hAnsi="Times New Roman" w:eastAsia="Times New Roman" w:cs="Times New Roman"/>
          <w:sz w:val="20"/>
          <w:szCs w:val="20"/>
          <w:rtl w:val="0"/>
          <w:lang w:val="zh-CN"/>
        </w:rPr>
        <w:instrText xml:space="preserve"> HYPERLINK \l "ref-rangel1986b" \h </w:instrText>
      </w:r>
      <w:r>
        <w:rPr>
          <w:rFonts w:ascii="Times New Roman" w:hAnsi="Times New Roman" w:eastAsia="Times New Roman" w:cs="Times New Roman"/>
          <w:sz w:val="20"/>
          <w:szCs w:val="20"/>
          <w:rtl w:val="0"/>
          <w:lang w:val="zh-CN"/>
        </w:rPr>
        <w:fldChar w:fldCharType="separate"/>
      </w:r>
      <w:r>
        <w:rPr>
          <w:rFonts w:ascii="Times New Roman" w:hAnsi="Times New Roman" w:eastAsia="Times New Roman" w:cs="Times New Roman"/>
          <w:sz w:val="20"/>
          <w:szCs w:val="20"/>
          <w:rtl w:val="0"/>
          <w:lang w:val="zh-CN"/>
        </w:rPr>
        <w:t>g</w:t>
      </w:r>
      <w:r>
        <w:rPr>
          <w:rFonts w:ascii="Times New Roman" w:hAnsi="Times New Roman" w:eastAsia="Times New Roman" w:cs="Times New Roman"/>
          <w:sz w:val="20"/>
          <w:szCs w:val="20"/>
          <w:rtl w:val="0"/>
          <w:lang w:val="zh-CN"/>
        </w:rPr>
        <w:fldChar w:fldCharType="end"/>
      </w:r>
      <w:r>
        <w:rPr>
          <w:rFonts w:ascii="Times New Roman" w:hAnsi="Times New Roman" w:eastAsia="Times New Roman" w:cs="Times New Roman"/>
          <w:sz w:val="20"/>
          <w:szCs w:val="20"/>
          <w:rtl w:val="0"/>
          <w:lang w:val="zh-CN"/>
        </w:rPr>
        <w:t>, p. 133).</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Segundo,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"ref-rangel1986b"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"ref-rangel1986b"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g</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 133), no entanto, “esse tipo de superação das relações de produção feudais”, ou seja, a revolução democrático-burguesa, “não é característico do Brasil. Sem embargo do surgimento de algumas ‘ilhas’ de pequena propriedade camponse, notadamente nas áreas de colonização européia e japonesa nos estados do Sul, que mais confirmam a regra.”</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Pelo contrário, “o modelo de desenvolvimento do capitalismo na agricultura brasileira foi e é a grande exploração capitalista, cada dia mais propensa ao uso de mão-de-obra assalariada e tendendo sempre a</w:t>
      </w:r>
      <w:r>
        <w:rPr>
          <w:rFonts w:hint="default" w:ascii="Times New Roman" w:hAnsi="Times New Roman" w:eastAsia="Times New Roman" w:cs="Times New Roman"/>
          <w:sz w:val="24"/>
          <w:szCs w:val="24"/>
          <w:rtl w:val="0"/>
          <w:lang w:val="pt-BR"/>
        </w:rPr>
        <w:t>o</w:t>
      </w:r>
      <w:r>
        <w:rPr>
          <w:rFonts w:ascii="Times New Roman" w:hAnsi="Times New Roman" w:eastAsia="Times New Roman" w:cs="Times New Roman"/>
          <w:sz w:val="24"/>
          <w:szCs w:val="24"/>
          <w:rtl w:val="0"/>
          <w:lang w:val="zh-CN"/>
        </w:rPr>
        <w:t xml:space="preserve"> desmantelamento das bases da economia natural, causando por isso mesmo, o fenômeno do êxodo rural”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"ref-rangel1986b"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"ref-rangel1986b"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g</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 134).</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 xml:space="preserve">O caso brasileiro, porém, não é único: “a industrialização da Inglaterra fez-se também, originariamente, nas condições de um enorme excedente de mão de obra, causado pelo </w:t>
      </w:r>
      <w:r>
        <w:rPr>
          <w:rFonts w:ascii="Times New Roman" w:hAnsi="Times New Roman" w:eastAsia="Times New Roman" w:cs="Times New Roman"/>
          <w:i/>
          <w:iCs/>
          <w:sz w:val="24"/>
          <w:szCs w:val="24"/>
          <w:rtl w:val="0"/>
          <w:lang w:val="zh-CN"/>
        </w:rPr>
        <w:t>enclosure</w:t>
      </w:r>
      <w:r>
        <w:rPr>
          <w:rFonts w:ascii="Times New Roman" w:hAnsi="Times New Roman" w:eastAsia="Times New Roman" w:cs="Times New Roman"/>
          <w:sz w:val="24"/>
          <w:szCs w:val="24"/>
          <w:rtl w:val="0"/>
          <w:lang w:val="zh-CN"/>
        </w:rPr>
        <w:t xml:space="preserve">…”. No caso inglês, porém, “o motor primário” do desenvolvimento foi a produção manufatureira para exportação, enquanto no Brasil a industrialização teve seu desenvolvimento estimulado, “nas condições de uma crônica crise cambial”, pela política de substituição de importações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"ref-rangel1962"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"ref-rangel1962"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h</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pp. 43–44).</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Ocorre que, de acordo com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"ref-rangel1986b"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"ref-rangel1986b"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g</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 134), “a superabundância e a barateza da mão-de-obra não costumam ser bons condicionanetes do processo de industrialização, dado que desestimulam a formação de capital, isto é, o investimento. Ora, numa economia capitalista, o investimento é o motor primário do desenvolvimento …”.</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 xml:space="preserve">Por este motivo, a “economia brasileira, nas condições de uma crise agrária profunda e crônica que, entre outras coisas, causava uma urbanização monstruosa, sem comparação possível com a demanda de mão-de-obra que a indústria e os serviços não-agrícolas estavam suscitando nas cidades (perto de três milhões de novos citadinos a cada ano)…”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"ref-rangel1986b"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"ref-rangel1986b"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g</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 134)</w:t>
      </w:r>
    </w:p>
    <w:p>
      <w:pPr>
        <w:spacing w:before="0" w:after="0" w:line="360" w:lineRule="auto"/>
        <w:ind w:firstLine="708"/>
        <w:jc w:val="both"/>
        <w:rPr>
          <w:rFonts w:ascii="Times New Roman" w:hAnsi="Times New Roman" w:eastAsia="Times New Roman" w:cs="Times New Roman"/>
          <w:sz w:val="24"/>
          <w:szCs w:val="24"/>
          <w:rtl w:val="0"/>
          <w:lang w:val="zh-CN"/>
        </w:rPr>
      </w:pPr>
    </w:p>
    <w:p>
      <w:pPr>
        <w:spacing w:before="0" w:after="0" w:line="360" w:lineRule="auto"/>
        <w:ind w:firstLine="708"/>
        <w:jc w:val="both"/>
        <w:rPr>
          <w:rFonts w:ascii="Times New Roman" w:hAnsi="Times New Roman" w:eastAsia="Times New Roman" w:cs="Times New Roman"/>
          <w:sz w:val="24"/>
          <w:szCs w:val="24"/>
          <w:rtl w:val="0"/>
          <w:lang w:val="zh-CN"/>
        </w:rPr>
      </w:pPr>
    </w:p>
    <w:p>
      <w:pPr>
        <w:spacing w:before="0" w:after="0" w:line="360" w:lineRule="auto"/>
        <w:ind w:firstLine="708"/>
        <w:jc w:val="both"/>
        <w:rPr>
          <w:rFonts w:ascii="Times New Roman" w:hAnsi="Times New Roman" w:eastAsia="Times New Roman" w:cs="Times New Roman"/>
          <w:sz w:val="24"/>
          <w:szCs w:val="24"/>
          <w:rtl w:val="0"/>
          <w:lang w:val="zh-CN"/>
        </w:rPr>
      </w:pPr>
    </w:p>
    <w:p>
      <w:pPr>
        <w:pStyle w:val="4"/>
        <w:bidi w:val="0"/>
        <w:ind w:firstLine="720" w:firstLineChars="0"/>
        <w:rPr>
          <w:rFonts w:hint="default" w:ascii="Times New Roman" w:hAnsi="Times New Roman" w:cs="Times New Roman"/>
          <w:color w:val="auto"/>
          <w:sz w:val="24"/>
          <w:szCs w:val="24"/>
          <w:lang w:val="pt-BR"/>
        </w:rPr>
      </w:pPr>
      <w:bookmarkStart w:id="8" w:name="Xc6f07857f6538c55de8f29749094859ae9e37c8"/>
      <w:r>
        <w:rPr>
          <w:rFonts w:hint="default" w:ascii="Times New Roman" w:hAnsi="Times New Roman" w:cs="Times New Roman"/>
          <w:color w:val="auto"/>
          <w:sz w:val="24"/>
          <w:szCs w:val="24"/>
          <w:lang w:val="pt-BR"/>
        </w:rPr>
        <w:t>2.4 O êxodo rural como obstáculo ao desenvolvimento</w:t>
      </w:r>
      <w:bookmarkEnd w:id="8"/>
    </w:p>
    <w:p>
      <w:pPr>
        <w:pStyle w:val="3"/>
        <w:rPr>
          <w:rFonts w:hint="default"/>
          <w:lang w:val="pt-BR"/>
        </w:rPr>
      </w:pP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No capitalismo, é conhecido o papel do investimento ou formação de capital nas taxas de desemprego. Segundo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"ref-rangel1988"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"ref-rangel1988"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b</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 156), “por um lado, via efeito multiplicador (efeito para trás), o investimento cria emprego de mão-de-obra; por outro lado, via implementação de nova tecnologia, promove dispensa de mão-de-obra (efeito para frente)”.</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 xml:space="preserve">Segundo Rangel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"ref-rangel1986c"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"ref-rangel1986c"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i</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 142), um “‘exército industrial de reserva’ limitado, isto é, algum desemprego, pode ser considerado útil, do ponto de vista da produção capitalista, porque serve de instrumento de coerção para os trabalhadores livres, fortalecendo assim a disciplina no trabalho”. No entanto, quando este torna-se excessivo, “pode converter-se em obstáculo ao desenvolvimento da própria economia capitalista. Ora, aqui está o nosso problema, dado que o ‘exército industrial de reserva’ brasileiro tornou-se teratologicamente grande. Por isso mesmo, a questão agrária, que se exprime precipuamente pela formação desse ‘exército’, não interessa apenas aos camponeses, mas à sociedade como um todo.”</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De acordo com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"ref-rangel1988"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"ref-rangel1988"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b</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 156), “a via democrática – divisão dos latifúndios em pequenas propriedades – ao favorecer uma distribuição menos desigualitária de re da cria condições para um vigoroso efeito multiplicador dos investimentos, isto é, forte efeito para trás. Inversamente, a via prussiana, ao promover uma distribuição de renda mais desigualitária, debilita o efeito multiplicador, isto é, para trás, mas, por força da concentração de renda, aumenta o peso relativo dos investimentos dispensando mão-de-obra e, por isso mesmo, aumentando o efeito para diante.”</w:t>
      </w:r>
    </w:p>
    <w:p>
      <w:pPr>
        <w:pStyle w:val="4"/>
        <w:bidi w:val="0"/>
        <w:ind w:firstLine="720" w:firstLineChars="0"/>
        <w:rPr>
          <w:rFonts w:hint="default" w:ascii="Times New Roman" w:hAnsi="Times New Roman" w:cs="Times New Roman"/>
          <w:color w:val="auto"/>
          <w:sz w:val="24"/>
          <w:szCs w:val="24"/>
          <w:lang w:val="pt-BR"/>
        </w:rPr>
      </w:pPr>
      <w:bookmarkStart w:id="9" w:name="qual-reforma-agraria"/>
      <w:r>
        <w:rPr>
          <w:rFonts w:hint="default" w:ascii="Times New Roman" w:hAnsi="Times New Roman" w:cs="Times New Roman"/>
          <w:color w:val="auto"/>
          <w:sz w:val="24"/>
          <w:szCs w:val="24"/>
          <w:lang w:val="pt-BR"/>
        </w:rPr>
        <w:t>2.5 Qual reforma agrária?</w:t>
      </w:r>
      <w:bookmarkEnd w:id="9"/>
    </w:p>
    <w:p>
      <w:pPr>
        <w:pStyle w:val="3"/>
        <w:rPr>
          <w:rFonts w:hint="default"/>
          <w:lang w:val="pt-BR"/>
        </w:rPr>
      </w:pPr>
    </w:p>
    <w:p>
      <w:pPr>
        <w:spacing w:before="0" w:after="0" w:line="360" w:lineRule="auto"/>
        <w:ind w:firstLine="708"/>
        <w:jc w:val="both"/>
        <w:rPr>
          <w:rFonts w:ascii="Times New Roman" w:hAnsi="Times New Roman" w:eastAsia="Times New Roman" w:cs="Times New Roman"/>
          <w:sz w:val="24"/>
          <w:szCs w:val="24"/>
          <w:rtl w:val="0"/>
          <w:lang w:val="zh-CN"/>
        </w:rPr>
      </w:pPr>
      <w:r>
        <w:t>C</w:t>
      </w:r>
      <w:r>
        <w:rPr>
          <w:rFonts w:ascii="Times New Roman" w:hAnsi="Times New Roman" w:eastAsia="Times New Roman" w:cs="Times New Roman"/>
          <w:sz w:val="24"/>
          <w:szCs w:val="24"/>
          <w:rtl w:val="0"/>
          <w:lang w:val="zh-CN"/>
        </w:rPr>
        <w:t xml:space="preserve">omo foi visto, o assunto é complexo e requer uma análise de todo o contexto econômico, social e político vigente. A tão sonhada “reforma agrária” a que normalmente se refere a mídia, os movimentos sociais ou a população em geral, deveria ter tido lugar ainda na década de 1930, ou seja, em fase anterior ao início da industrialização brasileira. Para Rangel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"ref-rangel1986a"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"ref-rangel1986a"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c</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 154), a “reforma agrária, no sentido convencional da expressão, isto é, a implantação de propriedade familiar suficientemente ampla, para permitir, ao lado da produção agrícola para o mercado, uma produção complementar agrícola e não-agrícola, isto é, para autoconsumo, pode justificar-se em certos casos, especialmente quando seja possível o renascimento da policultura tradicional e onde a fazenda capitalista, mono ou oligoculturista, ainda não tenha aparecido”. No atual contexto econômico, porém, esta reforma, com a dissolução do latifúndio produtivo para assentamento de famílias, levaria a uma regressão tecnológica no campo, o que seria altamente prejudicial para a economia brasileira como um todo.</w:t>
      </w:r>
    </w:p>
    <w:p>
      <w:pPr>
        <w:spacing w:before="0" w:after="0" w:line="360" w:lineRule="auto"/>
        <w:ind w:firstLine="708"/>
        <w:jc w:val="both"/>
        <w:rPr>
          <w:rFonts w:ascii="Times New Roman" w:hAnsi="Times New Roman" w:eastAsia="Times New Roman" w:cs="Times New Roman"/>
          <w:sz w:val="24"/>
          <w:szCs w:val="24"/>
          <w:rtl w:val="0"/>
          <w:lang w:val="zh-CN"/>
        </w:rPr>
      </w:pPr>
      <w:r>
        <w:rPr>
          <w:rFonts w:ascii="Times New Roman" w:hAnsi="Times New Roman" w:eastAsia="Times New Roman" w:cs="Times New Roman"/>
          <w:sz w:val="24"/>
          <w:szCs w:val="24"/>
          <w:rtl w:val="0"/>
          <w:lang w:val="zh-CN"/>
        </w:rPr>
        <w:t xml:space="preserve">Isto dito, Rangel então propõe então que, no Brasil, com a agricultura capitalista plenamente desenvolvida, uma segunda variante de reforma agrária, “não necessariamente rural”, com a finalidade de “recompor a economia natural onde quer que isto seja possível”, viabilizando “uma produção complementar, deixando a produção agrícola para o mercado a cargo da fazenda capitalista com mão-de-obra assalariada”,seja implementada (RANGEL, </w:t>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"ref-rangel1986a"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2012</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fldChar w:fldCharType="begin"/>
      </w:r>
      <w:r>
        <w:rPr>
          <w:rFonts w:ascii="Times New Roman" w:hAnsi="Times New Roman" w:eastAsia="Times New Roman" w:cs="Times New Roman"/>
          <w:sz w:val="24"/>
          <w:szCs w:val="24"/>
          <w:rtl w:val="0"/>
          <w:lang w:val="zh-CN"/>
        </w:rPr>
        <w:instrText xml:space="preserve"> HYPERLINK \l "ref-rangel1986a" \h </w:instrText>
      </w:r>
      <w:r>
        <w:rPr>
          <w:rFonts w:ascii="Times New Roman" w:hAnsi="Times New Roman" w:eastAsia="Times New Roman" w:cs="Times New Roman"/>
          <w:sz w:val="24"/>
          <w:szCs w:val="24"/>
          <w:rtl w:val="0"/>
          <w:lang w:val="zh-CN"/>
        </w:rPr>
        <w:fldChar w:fldCharType="separate"/>
      </w:r>
      <w:r>
        <w:rPr>
          <w:rFonts w:ascii="Times New Roman" w:hAnsi="Times New Roman" w:eastAsia="Times New Roman" w:cs="Times New Roman"/>
          <w:sz w:val="24"/>
          <w:szCs w:val="24"/>
          <w:rtl w:val="0"/>
          <w:lang w:val="zh-CN"/>
        </w:rPr>
        <w:t>c</w:t>
      </w:r>
      <w:r>
        <w:rPr>
          <w:rFonts w:ascii="Times New Roman" w:hAnsi="Times New Roman" w:eastAsia="Times New Roman" w:cs="Times New Roman"/>
          <w:sz w:val="24"/>
          <w:szCs w:val="24"/>
          <w:rtl w:val="0"/>
          <w:lang w:val="zh-CN"/>
        </w:rPr>
        <w:fldChar w:fldCharType="end"/>
      </w:r>
      <w:r>
        <w:rPr>
          <w:rFonts w:ascii="Times New Roman" w:hAnsi="Times New Roman" w:eastAsia="Times New Roman" w:cs="Times New Roman"/>
          <w:sz w:val="24"/>
          <w:szCs w:val="24"/>
          <w:rtl w:val="0"/>
          <w:lang w:val="zh-CN"/>
        </w:rPr>
        <w:t>, p. 155).</w:t>
      </w:r>
    </w:p>
    <w:p>
      <w:pPr>
        <w:pStyle w:val="2"/>
        <w:bidi w:val="0"/>
        <w:rPr>
          <w:rFonts w:hint="default" w:ascii="Times New Roman" w:hAnsi="Times New Roman" w:cs="Times New Roman"/>
          <w:color w:val="auto"/>
          <w:sz w:val="24"/>
          <w:szCs w:val="24"/>
        </w:rPr>
      </w:pPr>
      <w:bookmarkStart w:id="10" w:name="referencias"/>
      <w:r>
        <w:rPr>
          <w:rFonts w:hint="default" w:ascii="Times New Roman" w:hAnsi="Times New Roman" w:cs="Times New Roman"/>
          <w:color w:val="auto"/>
          <w:sz w:val="24"/>
          <w:szCs w:val="24"/>
        </w:rPr>
        <w:t>REFERÊNCIAS</w:t>
      </w:r>
      <w:bookmarkEnd w:id="10"/>
    </w:p>
    <w:p>
      <w:pPr>
        <w:pStyle w:val="3"/>
        <w:rPr>
          <w:rFonts w:hint="default"/>
        </w:rPr>
      </w:pPr>
    </w:p>
    <w:p>
      <w:pPr>
        <w:pStyle w:val="27"/>
        <w:jc w:val="both"/>
      </w:pPr>
      <w:bookmarkStart w:id="11" w:name="ref-kuznets"/>
      <w:bookmarkStart w:id="12" w:name="refs"/>
      <w:r>
        <w:t xml:space="preserve">KUZNETS, S. </w:t>
      </w:r>
      <w:r>
        <w:rPr>
          <w:b/>
        </w:rPr>
        <w:t>Long term changes in the national income of the united state of america, since 1870</w:t>
      </w:r>
      <w:r>
        <w:t>. Income &amp; Wealth, 1952.</w:t>
      </w:r>
    </w:p>
    <w:bookmarkEnd w:id="11"/>
    <w:p>
      <w:pPr>
        <w:pStyle w:val="27"/>
        <w:jc w:val="both"/>
      </w:pPr>
      <w:bookmarkStart w:id="13" w:name="ref-questaoagraria"/>
      <w:r>
        <w:t xml:space="preserve">PEREIRA, F. J. Algumas questões em torno da reforma agrária. In: </w:t>
      </w:r>
      <w:r>
        <w:rPr>
          <w:b/>
        </w:rPr>
        <w:t>A Questão Agrária e o Desenvolvimento Nacional</w:t>
      </w:r>
      <w:r>
        <w:t>. p.11–15, 1987. Florianópolis: SUDESUL; Editora da UFSC.</w:t>
      </w:r>
    </w:p>
    <w:bookmarkEnd w:id="13"/>
    <w:p>
      <w:pPr>
        <w:pStyle w:val="27"/>
        <w:jc w:val="both"/>
      </w:pPr>
      <w:bookmarkStart w:id="14" w:name="ref-rangel1954"/>
      <w:r>
        <w:t xml:space="preserve">RANGEL, I. O desenvolvimento econômico no Brasil. In: </w:t>
      </w:r>
      <w:r>
        <w:rPr>
          <w:b/>
        </w:rPr>
        <w:t>Ignácio rangel: Obras reunidas</w:t>
      </w:r>
      <w:r>
        <w:t>. 3rd ed., v. 1, p.39–128, 2012a. Rio de Janeiro: César Benjamin; Contraponto.</w:t>
      </w:r>
    </w:p>
    <w:bookmarkEnd w:id="14"/>
    <w:p>
      <w:pPr>
        <w:pStyle w:val="27"/>
        <w:jc w:val="both"/>
      </w:pPr>
      <w:bookmarkStart w:id="15" w:name="ref-rangel1988"/>
      <w:r>
        <w:t xml:space="preserve">RANGEL, I. Fim de linha. In: </w:t>
      </w:r>
      <w:r>
        <w:rPr>
          <w:b/>
        </w:rPr>
        <w:t>Ignácio rangel: Obras reunidas</w:t>
      </w:r>
      <w:r>
        <w:t>. 3rd ed., v. 2, p.155–157, 2012b. Rio de Janeiro: César Benjamin; Contraponto.</w:t>
      </w:r>
    </w:p>
    <w:bookmarkEnd w:id="15"/>
    <w:p>
      <w:pPr>
        <w:pStyle w:val="27"/>
        <w:jc w:val="both"/>
      </w:pPr>
      <w:bookmarkStart w:id="16" w:name="ref-rangel1986a"/>
      <w:r>
        <w:t xml:space="preserve">RANGEL, I. Crise agrária e metrópole. In: </w:t>
      </w:r>
      <w:r>
        <w:rPr>
          <w:b/>
        </w:rPr>
        <w:t>Ignácio rangel: Obras reunidas</w:t>
      </w:r>
      <w:r>
        <w:t>. 3rd ed., v. 2, p.149–155, 2012c. Rio de Janeiro: César Benjamin; Contraponto.</w:t>
      </w:r>
    </w:p>
    <w:bookmarkEnd w:id="16"/>
    <w:p>
      <w:pPr>
        <w:pStyle w:val="27"/>
        <w:jc w:val="both"/>
      </w:pPr>
      <w:bookmarkStart w:id="17" w:name="ref-rangel1956"/>
      <w:r>
        <w:t xml:space="preserve">RANGEL, I. Desenvolvimento e Projeto. In: </w:t>
      </w:r>
      <w:r>
        <w:rPr>
          <w:b/>
        </w:rPr>
        <w:t>Ignácio rangel: Obras reunidas</w:t>
      </w:r>
      <w:r>
        <w:t>. 3rd ed., v. 1, p.203–283, 2012d. Rio de Janeiro: César Benjamin; Contraponto.</w:t>
      </w:r>
    </w:p>
    <w:p>
      <w:pPr>
        <w:pStyle w:val="27"/>
        <w:jc w:val="both"/>
      </w:pPr>
      <w:r>
        <w:t xml:space="preserve">RANGEL, I. </w:t>
      </w:r>
      <w:r>
        <w:rPr>
          <w:rFonts w:hint="default"/>
          <w:lang w:val="pt-BR"/>
        </w:rPr>
        <w:t>Problemas da Reforma Agrária</w:t>
      </w:r>
      <w:r>
        <w:t xml:space="preserve">. In: </w:t>
      </w:r>
      <w:r>
        <w:rPr>
          <w:b/>
        </w:rPr>
        <w:t>Ignácio rangel: Obras reunidas</w:t>
      </w:r>
      <w:r>
        <w:t>. 3rd ed., v. 2, p.</w:t>
      </w:r>
      <w:r>
        <w:rPr>
          <w:rFonts w:hint="default"/>
          <w:lang w:val="pt-BR"/>
        </w:rPr>
        <w:t>125-128</w:t>
      </w:r>
      <w:r>
        <w:t xml:space="preserve">, </w:t>
      </w:r>
      <w:r>
        <w:rPr>
          <w:lang w:val="pt-BR"/>
        </w:rPr>
        <w:t>2012</w:t>
      </w:r>
      <w:r>
        <w:rPr>
          <w:rFonts w:hint="default"/>
          <w:lang w:val="pt-BR"/>
        </w:rPr>
        <w:t>e</w:t>
      </w:r>
      <w:r>
        <w:t>. Rio de Janeiro: César Benjamin; Contraponto.</w:t>
      </w:r>
    </w:p>
    <w:bookmarkEnd w:id="17"/>
    <w:p>
      <w:pPr>
        <w:pStyle w:val="27"/>
        <w:jc w:val="both"/>
      </w:pPr>
      <w:bookmarkStart w:id="18" w:name="ref-rangel1961"/>
      <w:r>
        <w:t xml:space="preserve">RANGEL, I. Demografia e democracia. In: </w:t>
      </w:r>
      <w:r>
        <w:rPr>
          <w:b/>
        </w:rPr>
        <w:t>Ignácio rangel: Obras reunidas</w:t>
      </w:r>
      <w:r>
        <w:t xml:space="preserve">. 3rd ed., v. 2, p.218–220, </w:t>
      </w:r>
      <w:r>
        <w:rPr>
          <w:lang w:val="pt-BR"/>
        </w:rPr>
        <w:t>2012</w:t>
      </w:r>
      <w:r>
        <w:rPr>
          <w:rFonts w:hint="default"/>
          <w:lang w:val="pt-BR"/>
        </w:rPr>
        <w:t>f</w:t>
      </w:r>
      <w:r>
        <w:t>. Rio de Janeiro: César Benjamin; Contraponto.</w:t>
      </w:r>
    </w:p>
    <w:bookmarkEnd w:id="18"/>
    <w:p>
      <w:pPr>
        <w:pStyle w:val="27"/>
        <w:jc w:val="both"/>
      </w:pPr>
      <w:bookmarkStart w:id="19" w:name="ref-rangel1960"/>
      <w:r>
        <w:t xml:space="preserve">RANGEL, I. Depoimento sobre a Questão Agrária. In: </w:t>
      </w:r>
      <w:r>
        <w:rPr>
          <w:b/>
        </w:rPr>
        <w:t>Ignácio rangel: Obras reunidas</w:t>
      </w:r>
      <w:r>
        <w:t xml:space="preserve">. 3rd ed., v. 2, p.205–207, </w:t>
      </w:r>
      <w:r>
        <w:rPr>
          <w:lang w:val="pt-BR"/>
        </w:rPr>
        <w:t>2012g</w:t>
      </w:r>
      <w:r>
        <w:t>. Rio de Janeiro: César Benjamin; Contraponto.</w:t>
      </w:r>
    </w:p>
    <w:bookmarkEnd w:id="19"/>
    <w:p>
      <w:pPr>
        <w:pStyle w:val="27"/>
        <w:jc w:val="both"/>
      </w:pPr>
      <w:bookmarkStart w:id="20" w:name="ref-rangel1986b"/>
      <w:r>
        <w:t xml:space="preserve">RANGEL, I. A Questão Agrária e o ciclo longo. In: </w:t>
      </w:r>
      <w:r>
        <w:rPr>
          <w:b/>
        </w:rPr>
        <w:t>Ignácio rangel: Obras reunidas</w:t>
      </w:r>
      <w:r>
        <w:t>. 3rd ed., v. 2, p.129–140, 2012</w:t>
      </w:r>
      <w:r>
        <w:rPr>
          <w:rFonts w:hint="default"/>
          <w:lang w:val="pt-BR"/>
        </w:rPr>
        <w:t>h</w:t>
      </w:r>
      <w:r>
        <w:t>. Rio de Janeiro: César Benjamin; Contraponto.</w:t>
      </w:r>
    </w:p>
    <w:bookmarkEnd w:id="20"/>
    <w:p>
      <w:pPr>
        <w:pStyle w:val="27"/>
        <w:jc w:val="both"/>
      </w:pPr>
      <w:bookmarkStart w:id="21" w:name="ref-rangel1962"/>
      <w:r>
        <w:t xml:space="preserve">RANGEL, I. A Questão Agrária brasileira. In: </w:t>
      </w:r>
      <w:r>
        <w:rPr>
          <w:b/>
        </w:rPr>
        <w:t>Ignácio rangel: Obras reunidas</w:t>
      </w:r>
      <w:r>
        <w:t>. 3rd ed., v. 2, p.23–80, 2012</w:t>
      </w:r>
      <w:r>
        <w:rPr>
          <w:rFonts w:hint="default"/>
          <w:lang w:val="pt-BR"/>
        </w:rPr>
        <w:t>i</w:t>
      </w:r>
      <w:r>
        <w:t>. Rio de Janeiro: César Benjamin; Contraponto.</w:t>
      </w:r>
    </w:p>
    <w:bookmarkEnd w:id="21"/>
    <w:p>
      <w:pPr>
        <w:pStyle w:val="27"/>
        <w:jc w:val="both"/>
      </w:pPr>
      <w:bookmarkStart w:id="22" w:name="ref-rangel1986c"/>
      <w:r>
        <w:t xml:space="preserve">RANGEL, I. A Questão da Terra. In: </w:t>
      </w:r>
      <w:r>
        <w:rPr>
          <w:b/>
        </w:rPr>
        <w:t>Ignácio rangel: Obras reunidas</w:t>
      </w:r>
      <w:r>
        <w:t>. 3rd ed., v. 2, p.141–149, 2012</w:t>
      </w:r>
      <w:r>
        <w:rPr>
          <w:rFonts w:hint="default"/>
          <w:lang w:val="pt-BR"/>
        </w:rPr>
        <w:t>j</w:t>
      </w:r>
      <w:r>
        <w:t>. Rio de Janeiro: César Benjamin; Contraponto.</w:t>
      </w:r>
    </w:p>
    <w:bookmarkEnd w:id="12"/>
    <w:bookmarkEnd w:id="2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E21B7AC5"/>
    <w:multiLevelType w:val="singleLevel"/>
    <w:tmpl w:val="E21B7AC5"/>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13D1B37E"/>
    <w:multiLevelType w:val="singleLevel"/>
    <w:tmpl w:val="13D1B37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084A5CC0"/>
    <w:rsid w:val="11CA7C01"/>
    <w:rsid w:val="26287F8E"/>
    <w:rsid w:val="37E55569"/>
    <w:rsid w:val="3B674E26"/>
    <w:rsid w:val="72F91EA5"/>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qFormat/>
    <w:uiPriority w:val="0"/>
  </w:style>
  <w:style w:type="table" w:default="1" w:styleId="22">
    <w:name w:val="Normal Table"/>
    <w:qFormat/>
    <w:uiPriority w:val="0"/>
    <w:tblPr>
      <w:tblLayout w:type="fixed"/>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3">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4">
    <w:name w:val="caption"/>
    <w:basedOn w:val="1"/>
    <w:next w:val="1"/>
    <w:qFormat/>
    <w:uiPriority w:val="0"/>
    <w:pPr>
      <w:spacing w:before="0" w:after="120"/>
    </w:pPr>
    <w:rPr>
      <w:i/>
    </w:rPr>
  </w:style>
  <w:style w:type="paragraph" w:styleId="15">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6">
    <w:name w:val="Subtitle"/>
    <w:basedOn w:val="13"/>
    <w:next w:val="3"/>
    <w:qFormat/>
    <w:uiPriority w:val="0"/>
    <w:pPr>
      <w:keepNext/>
      <w:keepLines/>
      <w:spacing w:before="240" w:after="240"/>
      <w:jc w:val="center"/>
    </w:pPr>
    <w:rPr>
      <w:sz w:val="30"/>
      <w:szCs w:val="30"/>
    </w:rPr>
  </w:style>
  <w:style w:type="paragraph" w:styleId="17">
    <w:name w:val="footnote text"/>
    <w:basedOn w:val="1"/>
    <w:unhideWhenUsed/>
    <w:qFormat/>
    <w:uiPriority w:val="9"/>
  </w:style>
  <w:style w:type="character" w:styleId="19">
    <w:name w:val="footnote reference"/>
    <w:basedOn w:val="20"/>
    <w:uiPriority w:val="0"/>
    <w:rPr>
      <w:vertAlign w:val="superscript"/>
    </w:rPr>
  </w:style>
  <w:style w:type="character" w:customStyle="1" w:styleId="20">
    <w:name w:val="Body Text Char"/>
    <w:basedOn w:val="18"/>
    <w:link w:val="3"/>
    <w:uiPriority w:val="0"/>
  </w:style>
  <w:style w:type="character" w:styleId="21">
    <w:name w:val="Hyperlink"/>
    <w:basedOn w:val="20"/>
    <w:uiPriority w:val="0"/>
    <w:rPr>
      <w:color w:val="4F81BD" w:themeColor="accent1"/>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Layout w:type="fixed"/>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4"/>
    <w:qFormat/>
    <w:uiPriority w:val="0"/>
    <w:pPr>
      <w:keepNext/>
    </w:pPr>
  </w:style>
  <w:style w:type="paragraph" w:customStyle="1" w:styleId="32">
    <w:name w:val="Image Caption"/>
    <w:basedOn w:val="14"/>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0"/>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qFormat/>
    <w:uiPriority w:val="0"/>
    <w:rPr>
      <w:b/>
      <w:color w:val="204A87"/>
      <w:shd w:val="clear" w:fill="F8F8F8"/>
    </w:rPr>
  </w:style>
  <w:style w:type="character" w:customStyle="1" w:styleId="39">
    <w:name w:val="DataTypeTok"/>
    <w:basedOn w:val="35"/>
    <w:qFormat/>
    <w:uiPriority w:val="0"/>
    <w:rPr>
      <w:color w:val="204A87"/>
      <w:shd w:val="clear" w:fill="F8F8F8"/>
    </w:rPr>
  </w:style>
  <w:style w:type="character" w:customStyle="1" w:styleId="40">
    <w:name w:val="DecValTok"/>
    <w:basedOn w:val="35"/>
    <w:qFormat/>
    <w:uiPriority w:val="0"/>
    <w:rPr>
      <w:color w:val="0000CF"/>
      <w:shd w:val="clear" w:fill="F8F8F8"/>
    </w:rPr>
  </w:style>
  <w:style w:type="character" w:customStyle="1" w:styleId="41">
    <w:name w:val="BaseNTok"/>
    <w:basedOn w:val="35"/>
    <w:qFormat/>
    <w:uiPriority w:val="0"/>
    <w:rPr>
      <w:color w:val="0000CF"/>
      <w:shd w:val="clear" w:fill="F8F8F8"/>
    </w:rPr>
  </w:style>
  <w:style w:type="character" w:customStyle="1" w:styleId="42">
    <w:name w:val="FloatTok"/>
    <w:basedOn w:val="35"/>
    <w:qFormat/>
    <w:uiPriority w:val="0"/>
    <w:rPr>
      <w:color w:val="0000CF"/>
      <w:shd w:val="clear" w:fill="F8F8F8"/>
    </w:rPr>
  </w:style>
  <w:style w:type="character" w:customStyle="1" w:styleId="43">
    <w:name w:val="ConstantTok"/>
    <w:basedOn w:val="35"/>
    <w:qFormat/>
    <w:uiPriority w:val="0"/>
    <w:rPr>
      <w:color w:val="000000"/>
      <w:shd w:val="clear" w:fill="F8F8F8"/>
    </w:rPr>
  </w:style>
  <w:style w:type="character" w:customStyle="1" w:styleId="44">
    <w:name w:val="CharTok"/>
    <w:basedOn w:val="35"/>
    <w:qFormat/>
    <w:uiPriority w:val="0"/>
    <w:rPr>
      <w:color w:val="4E9A06"/>
      <w:shd w:val="clear" w:fill="F8F8F8"/>
    </w:rPr>
  </w:style>
  <w:style w:type="character" w:customStyle="1" w:styleId="45">
    <w:name w:val="SpecialCharTok"/>
    <w:basedOn w:val="35"/>
    <w:qFormat/>
    <w:uiPriority w:val="0"/>
    <w:rPr>
      <w:color w:val="000000"/>
      <w:shd w:val="clear" w:fill="F8F8F8"/>
    </w:rPr>
  </w:style>
  <w:style w:type="character" w:customStyle="1" w:styleId="46">
    <w:name w:val="StringTok"/>
    <w:basedOn w:val="35"/>
    <w:qFormat/>
    <w:uiPriority w:val="0"/>
    <w:rPr>
      <w:color w:val="4E9A06"/>
      <w:shd w:val="clear" w:fill="F8F8F8"/>
    </w:rPr>
  </w:style>
  <w:style w:type="character" w:customStyle="1" w:styleId="47">
    <w:name w:val="VerbatimStringTok"/>
    <w:basedOn w:val="35"/>
    <w:qFormat/>
    <w:uiPriority w:val="0"/>
    <w:rPr>
      <w:color w:val="4E9A06"/>
      <w:shd w:val="clear" w:fill="F8F8F8"/>
    </w:rPr>
  </w:style>
  <w:style w:type="character" w:customStyle="1" w:styleId="48">
    <w:name w:val="SpecialStringTok"/>
    <w:basedOn w:val="35"/>
    <w:qFormat/>
    <w:uiPriority w:val="0"/>
    <w:rPr>
      <w:color w:val="4E9A06"/>
      <w:shd w:val="clear" w:fill="F8F8F8"/>
    </w:rPr>
  </w:style>
  <w:style w:type="character" w:customStyle="1" w:styleId="49">
    <w:name w:val="ImportTok"/>
    <w:basedOn w:val="35"/>
    <w:qFormat/>
    <w:uiPriority w:val="0"/>
    <w:rPr>
      <w:shd w:val="clear" w:fill="F8F8F8"/>
    </w:rPr>
  </w:style>
  <w:style w:type="character" w:customStyle="1" w:styleId="50">
    <w:name w:val="CommentTok"/>
    <w:basedOn w:val="35"/>
    <w:qFormat/>
    <w:uiPriority w:val="0"/>
    <w:rPr>
      <w:i/>
      <w:color w:val="8F5902"/>
      <w:shd w:val="clear" w:fill="F8F8F8"/>
    </w:rPr>
  </w:style>
  <w:style w:type="character" w:customStyle="1" w:styleId="51">
    <w:name w:val="DocumentationTok"/>
    <w:basedOn w:val="35"/>
    <w:qFormat/>
    <w:uiPriority w:val="0"/>
    <w:rPr>
      <w:b/>
      <w:i/>
      <w:color w:val="8F5902"/>
      <w:shd w:val="clear" w:fill="F8F8F8"/>
    </w:rPr>
  </w:style>
  <w:style w:type="character" w:customStyle="1" w:styleId="52">
    <w:name w:val="AnnotationTok"/>
    <w:basedOn w:val="35"/>
    <w:qFormat/>
    <w:uiPriority w:val="0"/>
    <w:rPr>
      <w:b/>
      <w:i/>
      <w:color w:val="8F5902"/>
      <w:shd w:val="clear" w:fill="F8F8F8"/>
    </w:rPr>
  </w:style>
  <w:style w:type="character" w:customStyle="1" w:styleId="53">
    <w:name w:val="CommentVarTok"/>
    <w:basedOn w:val="35"/>
    <w:qFormat/>
    <w:uiPriority w:val="0"/>
    <w:rPr>
      <w:b/>
      <w:i/>
      <w:color w:val="8F5902"/>
      <w:shd w:val="clear" w:fill="F8F8F8"/>
    </w:rPr>
  </w:style>
  <w:style w:type="character" w:customStyle="1" w:styleId="54">
    <w:name w:val="OtherTok"/>
    <w:basedOn w:val="35"/>
    <w:qFormat/>
    <w:uiPriority w:val="0"/>
    <w:rPr>
      <w:color w:val="8F5902"/>
      <w:shd w:val="clear" w:fill="F8F8F8"/>
    </w:rPr>
  </w:style>
  <w:style w:type="character" w:customStyle="1" w:styleId="55">
    <w:name w:val="FunctionTok"/>
    <w:basedOn w:val="35"/>
    <w:qFormat/>
    <w:uiPriority w:val="0"/>
    <w:rPr>
      <w:color w:val="000000"/>
      <w:shd w:val="clear" w:fill="F8F8F8"/>
    </w:rPr>
  </w:style>
  <w:style w:type="character" w:customStyle="1" w:styleId="56">
    <w:name w:val="VariableTok"/>
    <w:basedOn w:val="35"/>
    <w:qFormat/>
    <w:uiPriority w:val="0"/>
    <w:rPr>
      <w:color w:val="000000"/>
      <w:shd w:val="clear" w:fill="F8F8F8"/>
    </w:rPr>
  </w:style>
  <w:style w:type="character" w:customStyle="1" w:styleId="57">
    <w:name w:val="ControlFlowTok"/>
    <w:basedOn w:val="35"/>
    <w:qFormat/>
    <w:uiPriority w:val="0"/>
    <w:rPr>
      <w:b/>
      <w:color w:val="204A87"/>
      <w:shd w:val="clear" w:fill="F8F8F8"/>
    </w:rPr>
  </w:style>
  <w:style w:type="character" w:customStyle="1" w:styleId="58">
    <w:name w:val="OperatorTok"/>
    <w:basedOn w:val="35"/>
    <w:qFormat/>
    <w:uiPriority w:val="0"/>
    <w:rPr>
      <w:b/>
      <w:color w:val="CE5C00"/>
      <w:shd w:val="clear" w:fill="F8F8F8"/>
    </w:rPr>
  </w:style>
  <w:style w:type="character" w:customStyle="1" w:styleId="59">
    <w:name w:val="BuiltInTok"/>
    <w:basedOn w:val="35"/>
    <w:qFormat/>
    <w:uiPriority w:val="0"/>
    <w:rPr>
      <w:shd w:val="clear" w:fill="F8F8F8"/>
    </w:rPr>
  </w:style>
  <w:style w:type="character" w:customStyle="1" w:styleId="60">
    <w:name w:val="ExtensionTok"/>
    <w:basedOn w:val="35"/>
    <w:uiPriority w:val="0"/>
    <w:rPr>
      <w:shd w:val="clear" w:fill="F8F8F8"/>
    </w:rPr>
  </w:style>
  <w:style w:type="character" w:customStyle="1" w:styleId="61">
    <w:name w:val="PreprocessorTok"/>
    <w:basedOn w:val="35"/>
    <w:qFormat/>
    <w:uiPriority w:val="0"/>
    <w:rPr>
      <w:i/>
      <w:color w:val="8F5902"/>
      <w:shd w:val="clear" w:fill="F8F8F8"/>
    </w:rPr>
  </w:style>
  <w:style w:type="character" w:customStyle="1" w:styleId="62">
    <w:name w:val="AttributeTok"/>
    <w:basedOn w:val="35"/>
    <w:qFormat/>
    <w:uiPriority w:val="0"/>
    <w:rPr>
      <w:color w:val="C4A000"/>
      <w:shd w:val="clear" w:fill="F8F8F8"/>
    </w:rPr>
  </w:style>
  <w:style w:type="character" w:customStyle="1" w:styleId="63">
    <w:name w:val="RegionMarkerTok"/>
    <w:basedOn w:val="35"/>
    <w:qFormat/>
    <w:uiPriority w:val="0"/>
    <w:rPr>
      <w:shd w:val="clear" w:fill="F8F8F8"/>
    </w:rPr>
  </w:style>
  <w:style w:type="character" w:customStyle="1" w:styleId="64">
    <w:name w:val="InformationTok"/>
    <w:basedOn w:val="35"/>
    <w:qFormat/>
    <w:uiPriority w:val="0"/>
    <w:rPr>
      <w:b/>
      <w:i/>
      <w:color w:val="8F5902"/>
      <w:shd w:val="clear" w:fill="F8F8F8"/>
    </w:rPr>
  </w:style>
  <w:style w:type="character" w:customStyle="1" w:styleId="65">
    <w:name w:val="WarningTok"/>
    <w:basedOn w:val="35"/>
    <w:qFormat/>
    <w:uiPriority w:val="0"/>
    <w:rPr>
      <w:b/>
      <w:i/>
      <w:color w:val="8F5902"/>
      <w:shd w:val="clear" w:fill="F8F8F8"/>
    </w:rPr>
  </w:style>
  <w:style w:type="character" w:customStyle="1" w:styleId="66">
    <w:name w:val="AlertTok"/>
    <w:basedOn w:val="35"/>
    <w:qFormat/>
    <w:uiPriority w:val="0"/>
    <w:rPr>
      <w:color w:val="EF2929"/>
      <w:shd w:val="clear" w:fill="F8F8F8"/>
    </w:rPr>
  </w:style>
  <w:style w:type="character" w:customStyle="1" w:styleId="67">
    <w:name w:val="ErrorTok"/>
    <w:basedOn w:val="35"/>
    <w:uiPriority w:val="0"/>
    <w:rPr>
      <w:b/>
      <w:color w:val="A40000"/>
      <w:shd w:val="clear" w:fill="F8F8F8"/>
    </w:rPr>
  </w:style>
  <w:style w:type="character" w:customStyle="1" w:styleId="68">
    <w:name w:val="NormalTok"/>
    <w:basedOn w:val="35"/>
    <w:qFormat/>
    <w:uiPriority w:val="0"/>
    <w:rPr>
      <w:shd w:val="clear" w:fill="F8F8F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4</TotalTime>
  <ScaleCrop>false</ScaleCrop>
  <LinksUpToDate>false</LinksUpToDate>
  <CharactersWithSpaces>583</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2019-07-15T12:27:00Z</dcterms:created>
  <dc:creator>Luiz F. P. Droubi</dc:creator>
  <cp:lastModifiedBy>droubi</cp:lastModifiedBy>
  <dcterms:modified xsi:type="dcterms:W3CDTF">2019-07-18T12:10:05Z</dcterms:modified>
  <dc:title>A Questão Agrária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itecolor">
    <vt:lpwstr>green</vt:lpwstr>
  </property>
  <property fmtid="{D5CDD505-2E9C-101B-9397-08002B2CF9AE}" pid="4" name="classoption">
    <vt:lpwstr>a4paper, 12pt</vt:lpwstr>
  </property>
  <property fmtid="{D5CDD505-2E9C-101B-9397-08002B2CF9AE}" pid="5" name="csl">
    <vt:lpwstr>ABNT_UFPR_2011-Mendeley.csl</vt:lpwstr>
  </property>
  <property fmtid="{D5CDD505-2E9C-101B-9397-08002B2CF9AE}" pid="6" name="date">
    <vt:lpwstr>15/07/2019</vt:lpwstr>
  </property>
  <property fmtid="{D5CDD505-2E9C-101B-9397-08002B2CF9AE}" pid="7" name="documentclass">
    <vt:lpwstr>article</vt:lpwstr>
  </property>
  <property fmtid="{D5CDD505-2E9C-101B-9397-08002B2CF9AE}" pid="8" name="geometry">
    <vt:lpwstr>left=3.5cm,right=2.5cm,top=2.5cm,bottom=2.5cm</vt:lpwstr>
  </property>
  <property fmtid="{D5CDD505-2E9C-101B-9397-08002B2CF9AE}" pid="9" name="link-citations">
    <vt:lpwstr>yes</vt:lpwstr>
  </property>
  <property fmtid="{D5CDD505-2E9C-101B-9397-08002B2CF9AE}" pid="10" name="linkcolor">
    <vt:lpwstr>red</vt:lpwstr>
  </property>
  <property fmtid="{D5CDD505-2E9C-101B-9397-08002B2CF9AE}" pid="11" name="output">
    <vt:lpwstr/>
  </property>
  <property fmtid="{D5CDD505-2E9C-101B-9397-08002B2CF9AE}" pid="12" name="subtitle">
    <vt:lpwstr>implicações sobre o planejamento urbano e rural</vt:lpwstr>
  </property>
  <property fmtid="{D5CDD505-2E9C-101B-9397-08002B2CF9AE}" pid="13" name="urlcolor">
    <vt:lpwstr>magenta</vt:lpwstr>
  </property>
  <property fmtid="{D5CDD505-2E9C-101B-9397-08002B2CF9AE}" pid="14" name="KSOProductBuildVer">
    <vt:lpwstr>1046-11.2.0.8668</vt:lpwstr>
  </property>
</Properties>
</file>