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18CF63" w14:textId="77777777" w:rsidR="007067EA" w:rsidRDefault="007067EA">
      <w:bookmarkStart w:id="0" w:name="_GoBack"/>
      <w:bookmarkEnd w:id="0"/>
    </w:p>
    <w:p w14:paraId="31D8FCFE" w14:textId="77777777" w:rsidR="007067EA" w:rsidRDefault="007067EA"/>
    <w:p w14:paraId="6C6E6D6B" w14:textId="77777777" w:rsidR="007067EA" w:rsidRDefault="007067EA"/>
    <w:p w14:paraId="63689735" w14:textId="77777777" w:rsidR="007067EA" w:rsidRDefault="00355612">
      <w:pPr>
        <w:jc w:val="center"/>
      </w:pPr>
      <w:r>
        <w:rPr>
          <w:rFonts w:ascii="黑体" w:eastAsia="黑体" w:hAnsi="黑体"/>
          <w:b/>
          <w:sz w:val="44"/>
        </w:rPr>
        <w:t>量化交易策略开发与机器学习应用</w:t>
      </w:r>
      <w:r>
        <w:rPr>
          <w:rFonts w:ascii="黑体" w:eastAsia="黑体" w:hAnsi="黑体"/>
          <w:b/>
          <w:sz w:val="44"/>
        </w:rPr>
        <w:br/>
      </w:r>
      <w:r>
        <w:rPr>
          <w:rFonts w:ascii="黑体" w:eastAsia="黑体" w:hAnsi="黑体"/>
          <w:b/>
          <w:sz w:val="44"/>
        </w:rPr>
        <w:t>综合学习报告</w:t>
      </w:r>
    </w:p>
    <w:p w14:paraId="3E7DB77A" w14:textId="77777777" w:rsidR="007067EA" w:rsidRDefault="00355612">
      <w:pPr>
        <w:spacing w:before="240"/>
        <w:jc w:val="center"/>
      </w:pPr>
      <w:r>
        <w:rPr>
          <w:sz w:val="26"/>
        </w:rPr>
        <w:t>——</w:t>
      </w:r>
      <w:r>
        <w:rPr>
          <w:sz w:val="26"/>
        </w:rPr>
        <w:t>基于量化交易工作坊前七项任务的实践与总结</w:t>
      </w:r>
    </w:p>
    <w:p w14:paraId="77F49A62" w14:textId="77777777" w:rsidR="007067EA" w:rsidRDefault="007067EA"/>
    <w:p w14:paraId="7DD3A459" w14:textId="77777777" w:rsidR="007067EA" w:rsidRDefault="007067EA"/>
    <w:p w14:paraId="3B54E930" w14:textId="77777777" w:rsidR="007067EA" w:rsidRDefault="007067EA"/>
    <w:p w14:paraId="43829DD8" w14:textId="77777777" w:rsidR="007067EA" w:rsidRDefault="007067EA"/>
    <w:p w14:paraId="04EE4548" w14:textId="77777777" w:rsidR="007067EA" w:rsidRDefault="00355612">
      <w:pPr>
        <w:spacing w:after="120"/>
        <w:jc w:val="center"/>
      </w:pPr>
      <w:r>
        <w:rPr>
          <w:sz w:val="28"/>
        </w:rPr>
        <w:t>作者：林富强</w:t>
      </w:r>
    </w:p>
    <w:p w14:paraId="43E49E84" w14:textId="77777777" w:rsidR="007067EA" w:rsidRDefault="00355612">
      <w:pPr>
        <w:spacing w:after="120"/>
        <w:jc w:val="center"/>
      </w:pPr>
      <w:r>
        <w:rPr>
          <w:sz w:val="26"/>
        </w:rPr>
        <w:t>单位：北京大学</w:t>
      </w:r>
      <w:r>
        <w:rPr>
          <w:sz w:val="26"/>
        </w:rPr>
        <w:t xml:space="preserve"> · </w:t>
      </w:r>
      <w:r>
        <w:rPr>
          <w:sz w:val="26"/>
        </w:rPr>
        <w:t>量化交易工作坊</w:t>
      </w:r>
    </w:p>
    <w:p w14:paraId="34A2131B" w14:textId="77777777" w:rsidR="007067EA" w:rsidRDefault="00355612">
      <w:pPr>
        <w:spacing w:after="120"/>
        <w:jc w:val="center"/>
      </w:pPr>
      <w:r>
        <w:rPr>
          <w:sz w:val="26"/>
        </w:rPr>
        <w:t>完成日期：</w:t>
      </w:r>
      <w:r>
        <w:rPr>
          <w:sz w:val="26"/>
        </w:rPr>
        <w:t>2026</w:t>
      </w:r>
      <w:r>
        <w:rPr>
          <w:sz w:val="26"/>
        </w:rPr>
        <w:t>年</w:t>
      </w:r>
      <w:r>
        <w:rPr>
          <w:sz w:val="26"/>
        </w:rPr>
        <w:t>7</w:t>
      </w:r>
      <w:r>
        <w:rPr>
          <w:sz w:val="26"/>
        </w:rPr>
        <w:t>月</w:t>
      </w:r>
      <w:r>
        <w:rPr>
          <w:sz w:val="26"/>
        </w:rPr>
        <w:t>24</w:t>
      </w:r>
      <w:r>
        <w:rPr>
          <w:sz w:val="26"/>
        </w:rPr>
        <w:t>日</w:t>
      </w:r>
    </w:p>
    <w:p w14:paraId="48C3D4E4" w14:textId="77777777" w:rsidR="007067EA" w:rsidRDefault="00355612">
      <w:r>
        <w:br w:type="page"/>
      </w:r>
    </w:p>
    <w:p w14:paraId="1BCAFFC1" w14:textId="77777777" w:rsidR="007067EA" w:rsidRDefault="00355612">
      <w:pPr>
        <w:spacing w:before="120" w:after="80"/>
        <w:outlineLvl w:val="0"/>
      </w:pPr>
      <w:bookmarkStart w:id="1" w:name="_Toc235744203"/>
      <w:r>
        <w:rPr>
          <w:rFonts w:ascii="黑体" w:eastAsia="黑体" w:hAnsi="黑体"/>
          <w:b/>
          <w:sz w:val="32"/>
        </w:rPr>
        <w:lastRenderedPageBreak/>
        <w:t>目录</w:t>
      </w:r>
      <w:bookmarkEnd w:id="1"/>
    </w:p>
    <w:p w14:paraId="55C2492F" w14:textId="3A333FB3" w:rsidR="00355612" w:rsidRDefault="00355612">
      <w:pPr>
        <w:pStyle w:val="TOC1"/>
        <w:tabs>
          <w:tab w:val="right" w:leader="dot" w:pos="9062"/>
        </w:tabs>
        <w:rPr>
          <w:noProof/>
        </w:rPr>
      </w:pPr>
      <w:r>
        <w:fldChar w:fldCharType="begin"/>
      </w:r>
      <w:r>
        <w:instrText>TOC \o "1-3" \h \z \u</w:instrText>
      </w:r>
      <w:r>
        <w:fldChar w:fldCharType="separate"/>
      </w:r>
      <w:hyperlink w:anchor="_Toc235744203" w:history="1">
        <w:r w:rsidRPr="009B1116">
          <w:rPr>
            <w:rStyle w:val="aff9"/>
            <w:rFonts w:ascii="黑体" w:eastAsia="黑体" w:hAnsi="黑体"/>
            <w:b/>
            <w:noProof/>
          </w:rPr>
          <w:t>目录</w:t>
        </w:r>
        <w:r>
          <w:rPr>
            <w:noProof/>
            <w:webHidden/>
          </w:rPr>
          <w:tab/>
        </w:r>
        <w:r>
          <w:rPr>
            <w:noProof/>
            <w:webHidden/>
          </w:rPr>
          <w:fldChar w:fldCharType="begin"/>
        </w:r>
        <w:r>
          <w:rPr>
            <w:noProof/>
            <w:webHidden/>
          </w:rPr>
          <w:instrText xml:space="preserve"> PAGEREF _Toc235744203 \h </w:instrText>
        </w:r>
        <w:r>
          <w:rPr>
            <w:noProof/>
            <w:webHidden/>
          </w:rPr>
        </w:r>
        <w:r>
          <w:rPr>
            <w:noProof/>
            <w:webHidden/>
          </w:rPr>
          <w:fldChar w:fldCharType="separate"/>
        </w:r>
        <w:r>
          <w:rPr>
            <w:noProof/>
            <w:webHidden/>
          </w:rPr>
          <w:t>2</w:t>
        </w:r>
        <w:r>
          <w:rPr>
            <w:noProof/>
            <w:webHidden/>
          </w:rPr>
          <w:fldChar w:fldCharType="end"/>
        </w:r>
      </w:hyperlink>
    </w:p>
    <w:p w14:paraId="197E6126" w14:textId="103A50C7" w:rsidR="00355612" w:rsidRDefault="00355612">
      <w:pPr>
        <w:pStyle w:val="TOC1"/>
        <w:tabs>
          <w:tab w:val="right" w:leader="dot" w:pos="9062"/>
        </w:tabs>
        <w:rPr>
          <w:noProof/>
        </w:rPr>
      </w:pPr>
      <w:hyperlink w:anchor="_Toc235744204" w:history="1">
        <w:r w:rsidRPr="009B1116">
          <w:rPr>
            <w:rStyle w:val="aff9"/>
            <w:rFonts w:ascii="黑体" w:eastAsia="黑体" w:hAnsi="黑体"/>
            <w:b/>
            <w:noProof/>
          </w:rPr>
          <w:t>摘要</w:t>
        </w:r>
        <w:r>
          <w:rPr>
            <w:noProof/>
            <w:webHidden/>
          </w:rPr>
          <w:tab/>
        </w:r>
        <w:r>
          <w:rPr>
            <w:noProof/>
            <w:webHidden/>
          </w:rPr>
          <w:fldChar w:fldCharType="begin"/>
        </w:r>
        <w:r>
          <w:rPr>
            <w:noProof/>
            <w:webHidden/>
          </w:rPr>
          <w:instrText xml:space="preserve"> PAGEREF _Toc235744204 \h </w:instrText>
        </w:r>
        <w:r>
          <w:rPr>
            <w:noProof/>
            <w:webHidden/>
          </w:rPr>
        </w:r>
        <w:r>
          <w:rPr>
            <w:noProof/>
            <w:webHidden/>
          </w:rPr>
          <w:fldChar w:fldCharType="separate"/>
        </w:r>
        <w:r>
          <w:rPr>
            <w:noProof/>
            <w:webHidden/>
          </w:rPr>
          <w:t>3</w:t>
        </w:r>
        <w:r>
          <w:rPr>
            <w:noProof/>
            <w:webHidden/>
          </w:rPr>
          <w:fldChar w:fldCharType="end"/>
        </w:r>
      </w:hyperlink>
    </w:p>
    <w:p w14:paraId="2061B6D0" w14:textId="433C435C" w:rsidR="00355612" w:rsidRDefault="00355612">
      <w:pPr>
        <w:pStyle w:val="TOC1"/>
        <w:tabs>
          <w:tab w:val="right" w:leader="dot" w:pos="9062"/>
        </w:tabs>
        <w:rPr>
          <w:noProof/>
        </w:rPr>
      </w:pPr>
      <w:hyperlink w:anchor="_Toc235744205" w:history="1">
        <w:r w:rsidRPr="009B1116">
          <w:rPr>
            <w:rStyle w:val="aff9"/>
            <w:rFonts w:ascii="黑体" w:eastAsia="黑体" w:hAnsi="黑体"/>
            <w:b/>
            <w:noProof/>
          </w:rPr>
          <w:t>第一章  量化交易核心概念</w:t>
        </w:r>
        <w:r>
          <w:rPr>
            <w:noProof/>
            <w:webHidden/>
          </w:rPr>
          <w:tab/>
        </w:r>
        <w:r>
          <w:rPr>
            <w:noProof/>
            <w:webHidden/>
          </w:rPr>
          <w:fldChar w:fldCharType="begin"/>
        </w:r>
        <w:r>
          <w:rPr>
            <w:noProof/>
            <w:webHidden/>
          </w:rPr>
          <w:instrText xml:space="preserve"> PAGEREF _Toc235744205 \h </w:instrText>
        </w:r>
        <w:r>
          <w:rPr>
            <w:noProof/>
            <w:webHidden/>
          </w:rPr>
        </w:r>
        <w:r>
          <w:rPr>
            <w:noProof/>
            <w:webHidden/>
          </w:rPr>
          <w:fldChar w:fldCharType="separate"/>
        </w:r>
        <w:r>
          <w:rPr>
            <w:noProof/>
            <w:webHidden/>
          </w:rPr>
          <w:t>4</w:t>
        </w:r>
        <w:r>
          <w:rPr>
            <w:noProof/>
            <w:webHidden/>
          </w:rPr>
          <w:fldChar w:fldCharType="end"/>
        </w:r>
      </w:hyperlink>
    </w:p>
    <w:p w14:paraId="5FAF1264" w14:textId="2E0B1F03" w:rsidR="00355612" w:rsidRDefault="00355612">
      <w:pPr>
        <w:pStyle w:val="TOC2"/>
        <w:tabs>
          <w:tab w:val="right" w:leader="dot" w:pos="9062"/>
        </w:tabs>
        <w:rPr>
          <w:noProof/>
        </w:rPr>
      </w:pPr>
      <w:hyperlink w:anchor="_Toc235744206" w:history="1">
        <w:r w:rsidRPr="009B1116">
          <w:rPr>
            <w:rStyle w:val="aff9"/>
            <w:rFonts w:ascii="黑体" w:eastAsia="黑体" w:hAnsi="黑体"/>
            <w:b/>
            <w:noProof/>
          </w:rPr>
          <w:t>1.1  量化交易的基本概念</w:t>
        </w:r>
        <w:r>
          <w:rPr>
            <w:noProof/>
            <w:webHidden/>
          </w:rPr>
          <w:tab/>
        </w:r>
        <w:r>
          <w:rPr>
            <w:noProof/>
            <w:webHidden/>
          </w:rPr>
          <w:fldChar w:fldCharType="begin"/>
        </w:r>
        <w:r>
          <w:rPr>
            <w:noProof/>
            <w:webHidden/>
          </w:rPr>
          <w:instrText xml:space="preserve"> PAGEREF _Toc235744206 \h </w:instrText>
        </w:r>
        <w:r>
          <w:rPr>
            <w:noProof/>
            <w:webHidden/>
          </w:rPr>
        </w:r>
        <w:r>
          <w:rPr>
            <w:noProof/>
            <w:webHidden/>
          </w:rPr>
          <w:fldChar w:fldCharType="separate"/>
        </w:r>
        <w:r>
          <w:rPr>
            <w:noProof/>
            <w:webHidden/>
          </w:rPr>
          <w:t>4</w:t>
        </w:r>
        <w:r>
          <w:rPr>
            <w:noProof/>
            <w:webHidden/>
          </w:rPr>
          <w:fldChar w:fldCharType="end"/>
        </w:r>
      </w:hyperlink>
    </w:p>
    <w:p w14:paraId="5A617572" w14:textId="63398E2B" w:rsidR="00355612" w:rsidRDefault="00355612">
      <w:pPr>
        <w:pStyle w:val="TOC2"/>
        <w:tabs>
          <w:tab w:val="right" w:leader="dot" w:pos="9062"/>
        </w:tabs>
        <w:rPr>
          <w:noProof/>
        </w:rPr>
      </w:pPr>
      <w:hyperlink w:anchor="_Toc235744207" w:history="1">
        <w:r w:rsidRPr="009B1116">
          <w:rPr>
            <w:rStyle w:val="aff9"/>
            <w:rFonts w:ascii="黑体" w:eastAsia="黑体" w:hAnsi="黑体"/>
            <w:b/>
            <w:noProof/>
          </w:rPr>
          <w:t>1.2  量化交易的核心价值</w:t>
        </w:r>
        <w:r>
          <w:rPr>
            <w:noProof/>
            <w:webHidden/>
          </w:rPr>
          <w:tab/>
        </w:r>
        <w:r>
          <w:rPr>
            <w:noProof/>
            <w:webHidden/>
          </w:rPr>
          <w:fldChar w:fldCharType="begin"/>
        </w:r>
        <w:r>
          <w:rPr>
            <w:noProof/>
            <w:webHidden/>
          </w:rPr>
          <w:instrText xml:space="preserve"> PAGEREF _Toc235744207 \h </w:instrText>
        </w:r>
        <w:r>
          <w:rPr>
            <w:noProof/>
            <w:webHidden/>
          </w:rPr>
        </w:r>
        <w:r>
          <w:rPr>
            <w:noProof/>
            <w:webHidden/>
          </w:rPr>
          <w:fldChar w:fldCharType="separate"/>
        </w:r>
        <w:r>
          <w:rPr>
            <w:noProof/>
            <w:webHidden/>
          </w:rPr>
          <w:t>4</w:t>
        </w:r>
        <w:r>
          <w:rPr>
            <w:noProof/>
            <w:webHidden/>
          </w:rPr>
          <w:fldChar w:fldCharType="end"/>
        </w:r>
      </w:hyperlink>
    </w:p>
    <w:p w14:paraId="67E37E90" w14:textId="2ABB8A54" w:rsidR="00355612" w:rsidRDefault="00355612">
      <w:pPr>
        <w:pStyle w:val="TOC1"/>
        <w:tabs>
          <w:tab w:val="right" w:leader="dot" w:pos="9062"/>
        </w:tabs>
        <w:rPr>
          <w:noProof/>
        </w:rPr>
      </w:pPr>
      <w:hyperlink w:anchor="_Toc235744208" w:history="1">
        <w:r w:rsidRPr="009B1116">
          <w:rPr>
            <w:rStyle w:val="aff9"/>
            <w:rFonts w:ascii="黑体" w:eastAsia="黑体" w:hAnsi="黑体"/>
            <w:b/>
            <w:noProof/>
          </w:rPr>
          <w:t>第二章  量化交易策略综合分析</w:t>
        </w:r>
        <w:r>
          <w:rPr>
            <w:noProof/>
            <w:webHidden/>
          </w:rPr>
          <w:tab/>
        </w:r>
        <w:r>
          <w:rPr>
            <w:noProof/>
            <w:webHidden/>
          </w:rPr>
          <w:fldChar w:fldCharType="begin"/>
        </w:r>
        <w:r>
          <w:rPr>
            <w:noProof/>
            <w:webHidden/>
          </w:rPr>
          <w:instrText xml:space="preserve"> PAGEREF _Toc235744208 \h </w:instrText>
        </w:r>
        <w:r>
          <w:rPr>
            <w:noProof/>
            <w:webHidden/>
          </w:rPr>
        </w:r>
        <w:r>
          <w:rPr>
            <w:noProof/>
            <w:webHidden/>
          </w:rPr>
          <w:fldChar w:fldCharType="separate"/>
        </w:r>
        <w:r>
          <w:rPr>
            <w:noProof/>
            <w:webHidden/>
          </w:rPr>
          <w:t>4</w:t>
        </w:r>
        <w:r>
          <w:rPr>
            <w:noProof/>
            <w:webHidden/>
          </w:rPr>
          <w:fldChar w:fldCharType="end"/>
        </w:r>
      </w:hyperlink>
    </w:p>
    <w:p w14:paraId="1D7B4696" w14:textId="2EEEE334" w:rsidR="00355612" w:rsidRDefault="00355612">
      <w:pPr>
        <w:pStyle w:val="TOC2"/>
        <w:tabs>
          <w:tab w:val="right" w:leader="dot" w:pos="9062"/>
        </w:tabs>
        <w:rPr>
          <w:noProof/>
        </w:rPr>
      </w:pPr>
      <w:hyperlink w:anchor="_Toc235744209" w:history="1">
        <w:r w:rsidRPr="009B1116">
          <w:rPr>
            <w:rStyle w:val="aff9"/>
            <w:rFonts w:ascii="黑体" w:eastAsia="黑体" w:hAnsi="黑体"/>
            <w:b/>
            <w:noProof/>
          </w:rPr>
          <w:t>2.1  均线交叉策略（任务三）</w:t>
        </w:r>
        <w:r>
          <w:rPr>
            <w:noProof/>
            <w:webHidden/>
          </w:rPr>
          <w:tab/>
        </w:r>
        <w:r>
          <w:rPr>
            <w:noProof/>
            <w:webHidden/>
          </w:rPr>
          <w:fldChar w:fldCharType="begin"/>
        </w:r>
        <w:r>
          <w:rPr>
            <w:noProof/>
            <w:webHidden/>
          </w:rPr>
          <w:instrText xml:space="preserve"> PAGEREF _Toc235744209 \h </w:instrText>
        </w:r>
        <w:r>
          <w:rPr>
            <w:noProof/>
            <w:webHidden/>
          </w:rPr>
        </w:r>
        <w:r>
          <w:rPr>
            <w:noProof/>
            <w:webHidden/>
          </w:rPr>
          <w:fldChar w:fldCharType="separate"/>
        </w:r>
        <w:r>
          <w:rPr>
            <w:noProof/>
            <w:webHidden/>
          </w:rPr>
          <w:t>4</w:t>
        </w:r>
        <w:r>
          <w:rPr>
            <w:noProof/>
            <w:webHidden/>
          </w:rPr>
          <w:fldChar w:fldCharType="end"/>
        </w:r>
      </w:hyperlink>
    </w:p>
    <w:p w14:paraId="1D4FAE07" w14:textId="1205D633" w:rsidR="00355612" w:rsidRDefault="00355612">
      <w:pPr>
        <w:pStyle w:val="TOC2"/>
        <w:tabs>
          <w:tab w:val="right" w:leader="dot" w:pos="9062"/>
        </w:tabs>
        <w:rPr>
          <w:noProof/>
        </w:rPr>
      </w:pPr>
      <w:hyperlink w:anchor="_Toc235744210" w:history="1">
        <w:r w:rsidRPr="009B1116">
          <w:rPr>
            <w:rStyle w:val="aff9"/>
            <w:rFonts w:ascii="黑体" w:eastAsia="黑体" w:hAnsi="黑体"/>
            <w:b/>
            <w:noProof/>
          </w:rPr>
          <w:t>2.2  海龟交易策略（任务四）</w:t>
        </w:r>
        <w:r>
          <w:rPr>
            <w:noProof/>
            <w:webHidden/>
          </w:rPr>
          <w:tab/>
        </w:r>
        <w:r>
          <w:rPr>
            <w:noProof/>
            <w:webHidden/>
          </w:rPr>
          <w:fldChar w:fldCharType="begin"/>
        </w:r>
        <w:r>
          <w:rPr>
            <w:noProof/>
            <w:webHidden/>
          </w:rPr>
          <w:instrText xml:space="preserve"> PAGEREF _Toc235744210 \h </w:instrText>
        </w:r>
        <w:r>
          <w:rPr>
            <w:noProof/>
            <w:webHidden/>
          </w:rPr>
        </w:r>
        <w:r>
          <w:rPr>
            <w:noProof/>
            <w:webHidden/>
          </w:rPr>
          <w:fldChar w:fldCharType="separate"/>
        </w:r>
        <w:r>
          <w:rPr>
            <w:noProof/>
            <w:webHidden/>
          </w:rPr>
          <w:t>6</w:t>
        </w:r>
        <w:r>
          <w:rPr>
            <w:noProof/>
            <w:webHidden/>
          </w:rPr>
          <w:fldChar w:fldCharType="end"/>
        </w:r>
      </w:hyperlink>
    </w:p>
    <w:p w14:paraId="14D40B9A" w14:textId="191093A3" w:rsidR="00355612" w:rsidRDefault="00355612">
      <w:pPr>
        <w:pStyle w:val="TOC2"/>
        <w:tabs>
          <w:tab w:val="right" w:leader="dot" w:pos="9062"/>
        </w:tabs>
        <w:rPr>
          <w:noProof/>
        </w:rPr>
      </w:pPr>
      <w:hyperlink w:anchor="_Toc235744211" w:history="1">
        <w:r w:rsidRPr="009B1116">
          <w:rPr>
            <w:rStyle w:val="aff9"/>
            <w:rFonts w:ascii="黑体" w:eastAsia="黑体" w:hAnsi="黑体"/>
            <w:b/>
            <w:noProof/>
          </w:rPr>
          <w:t>2.3  机器学习选股策略（任务五、任务六）</w:t>
        </w:r>
        <w:r>
          <w:rPr>
            <w:noProof/>
            <w:webHidden/>
          </w:rPr>
          <w:tab/>
        </w:r>
        <w:r>
          <w:rPr>
            <w:noProof/>
            <w:webHidden/>
          </w:rPr>
          <w:fldChar w:fldCharType="begin"/>
        </w:r>
        <w:r>
          <w:rPr>
            <w:noProof/>
            <w:webHidden/>
          </w:rPr>
          <w:instrText xml:space="preserve"> PAGEREF _Toc235744211 \h </w:instrText>
        </w:r>
        <w:r>
          <w:rPr>
            <w:noProof/>
            <w:webHidden/>
          </w:rPr>
        </w:r>
        <w:r>
          <w:rPr>
            <w:noProof/>
            <w:webHidden/>
          </w:rPr>
          <w:fldChar w:fldCharType="separate"/>
        </w:r>
        <w:r>
          <w:rPr>
            <w:noProof/>
            <w:webHidden/>
          </w:rPr>
          <w:t>7</w:t>
        </w:r>
        <w:r>
          <w:rPr>
            <w:noProof/>
            <w:webHidden/>
          </w:rPr>
          <w:fldChar w:fldCharType="end"/>
        </w:r>
      </w:hyperlink>
    </w:p>
    <w:p w14:paraId="25CDCA3F" w14:textId="144FC78F" w:rsidR="00355612" w:rsidRDefault="00355612">
      <w:pPr>
        <w:pStyle w:val="TOC2"/>
        <w:tabs>
          <w:tab w:val="right" w:leader="dot" w:pos="9062"/>
        </w:tabs>
        <w:rPr>
          <w:noProof/>
        </w:rPr>
      </w:pPr>
      <w:hyperlink w:anchor="_Toc235744212" w:history="1">
        <w:r w:rsidRPr="009B1116">
          <w:rPr>
            <w:rStyle w:val="aff9"/>
            <w:rFonts w:ascii="黑体" w:eastAsia="黑体" w:hAnsi="黑体"/>
            <w:b/>
            <w:noProof/>
          </w:rPr>
          <w:t>2.4  实盘模拟策略（任务七）</w:t>
        </w:r>
        <w:r>
          <w:rPr>
            <w:noProof/>
            <w:webHidden/>
          </w:rPr>
          <w:tab/>
        </w:r>
        <w:r>
          <w:rPr>
            <w:noProof/>
            <w:webHidden/>
          </w:rPr>
          <w:fldChar w:fldCharType="begin"/>
        </w:r>
        <w:r>
          <w:rPr>
            <w:noProof/>
            <w:webHidden/>
          </w:rPr>
          <w:instrText xml:space="preserve"> PAGEREF _Toc235744212 \h </w:instrText>
        </w:r>
        <w:r>
          <w:rPr>
            <w:noProof/>
            <w:webHidden/>
          </w:rPr>
        </w:r>
        <w:r>
          <w:rPr>
            <w:noProof/>
            <w:webHidden/>
          </w:rPr>
          <w:fldChar w:fldCharType="separate"/>
        </w:r>
        <w:r>
          <w:rPr>
            <w:noProof/>
            <w:webHidden/>
          </w:rPr>
          <w:t>9</w:t>
        </w:r>
        <w:r>
          <w:rPr>
            <w:noProof/>
            <w:webHidden/>
          </w:rPr>
          <w:fldChar w:fldCharType="end"/>
        </w:r>
      </w:hyperlink>
    </w:p>
    <w:p w14:paraId="62D4884F" w14:textId="5A33950B" w:rsidR="00355612" w:rsidRDefault="00355612">
      <w:pPr>
        <w:pStyle w:val="TOC2"/>
        <w:tabs>
          <w:tab w:val="right" w:leader="dot" w:pos="9062"/>
        </w:tabs>
        <w:rPr>
          <w:noProof/>
        </w:rPr>
      </w:pPr>
      <w:hyperlink w:anchor="_Toc235744213" w:history="1">
        <w:r w:rsidRPr="009B1116">
          <w:rPr>
            <w:rStyle w:val="aff9"/>
            <w:rFonts w:ascii="黑体" w:eastAsia="黑体" w:hAnsi="黑体"/>
            <w:b/>
            <w:noProof/>
          </w:rPr>
          <w:t>2.5  不同策略的优缺点、适用场景与市场表现比较</w:t>
        </w:r>
        <w:r>
          <w:rPr>
            <w:noProof/>
            <w:webHidden/>
          </w:rPr>
          <w:tab/>
        </w:r>
        <w:r>
          <w:rPr>
            <w:noProof/>
            <w:webHidden/>
          </w:rPr>
          <w:fldChar w:fldCharType="begin"/>
        </w:r>
        <w:r>
          <w:rPr>
            <w:noProof/>
            <w:webHidden/>
          </w:rPr>
          <w:instrText xml:space="preserve"> PAGEREF _Toc235744213 \h </w:instrText>
        </w:r>
        <w:r>
          <w:rPr>
            <w:noProof/>
            <w:webHidden/>
          </w:rPr>
        </w:r>
        <w:r>
          <w:rPr>
            <w:noProof/>
            <w:webHidden/>
          </w:rPr>
          <w:fldChar w:fldCharType="separate"/>
        </w:r>
        <w:r>
          <w:rPr>
            <w:noProof/>
            <w:webHidden/>
          </w:rPr>
          <w:t>10</w:t>
        </w:r>
        <w:r>
          <w:rPr>
            <w:noProof/>
            <w:webHidden/>
          </w:rPr>
          <w:fldChar w:fldCharType="end"/>
        </w:r>
      </w:hyperlink>
    </w:p>
    <w:p w14:paraId="0E7E2C19" w14:textId="29C8F809" w:rsidR="00355612" w:rsidRDefault="00355612">
      <w:pPr>
        <w:pStyle w:val="TOC2"/>
        <w:tabs>
          <w:tab w:val="right" w:leader="dot" w:pos="9062"/>
        </w:tabs>
        <w:rPr>
          <w:noProof/>
        </w:rPr>
      </w:pPr>
      <w:hyperlink w:anchor="_Toc235744214" w:history="1">
        <w:r w:rsidRPr="009B1116">
          <w:rPr>
            <w:rStyle w:val="aff9"/>
            <w:rFonts w:ascii="黑体" w:eastAsia="黑体" w:hAnsi="黑体"/>
            <w:b/>
            <w:noProof/>
          </w:rPr>
          <w:t>2.6  策略关联性与互补性：多策略系统的构建思路</w:t>
        </w:r>
        <w:r>
          <w:rPr>
            <w:noProof/>
            <w:webHidden/>
          </w:rPr>
          <w:tab/>
        </w:r>
        <w:r>
          <w:rPr>
            <w:noProof/>
            <w:webHidden/>
          </w:rPr>
          <w:fldChar w:fldCharType="begin"/>
        </w:r>
        <w:r>
          <w:rPr>
            <w:noProof/>
            <w:webHidden/>
          </w:rPr>
          <w:instrText xml:space="preserve"> PAGEREF _Toc235744214 \h </w:instrText>
        </w:r>
        <w:r>
          <w:rPr>
            <w:noProof/>
            <w:webHidden/>
          </w:rPr>
        </w:r>
        <w:r>
          <w:rPr>
            <w:noProof/>
            <w:webHidden/>
          </w:rPr>
          <w:fldChar w:fldCharType="separate"/>
        </w:r>
        <w:r>
          <w:rPr>
            <w:noProof/>
            <w:webHidden/>
          </w:rPr>
          <w:t>10</w:t>
        </w:r>
        <w:r>
          <w:rPr>
            <w:noProof/>
            <w:webHidden/>
          </w:rPr>
          <w:fldChar w:fldCharType="end"/>
        </w:r>
      </w:hyperlink>
    </w:p>
    <w:p w14:paraId="196E760E" w14:textId="3E0221A0" w:rsidR="00355612" w:rsidRDefault="00355612">
      <w:pPr>
        <w:pStyle w:val="TOC1"/>
        <w:tabs>
          <w:tab w:val="right" w:leader="dot" w:pos="9062"/>
        </w:tabs>
        <w:rPr>
          <w:noProof/>
        </w:rPr>
      </w:pPr>
      <w:hyperlink w:anchor="_Toc235744215" w:history="1">
        <w:r w:rsidRPr="009B1116">
          <w:rPr>
            <w:rStyle w:val="aff9"/>
            <w:rFonts w:ascii="黑体" w:eastAsia="黑体" w:hAnsi="黑体"/>
            <w:b/>
            <w:noProof/>
          </w:rPr>
          <w:t>第三章  机器学习在量化交易中的应用总结</w:t>
        </w:r>
        <w:r>
          <w:rPr>
            <w:noProof/>
            <w:webHidden/>
          </w:rPr>
          <w:tab/>
        </w:r>
        <w:r>
          <w:rPr>
            <w:noProof/>
            <w:webHidden/>
          </w:rPr>
          <w:fldChar w:fldCharType="begin"/>
        </w:r>
        <w:r>
          <w:rPr>
            <w:noProof/>
            <w:webHidden/>
          </w:rPr>
          <w:instrText xml:space="preserve"> PAGEREF _Toc235744215 \h </w:instrText>
        </w:r>
        <w:r>
          <w:rPr>
            <w:noProof/>
            <w:webHidden/>
          </w:rPr>
        </w:r>
        <w:r>
          <w:rPr>
            <w:noProof/>
            <w:webHidden/>
          </w:rPr>
          <w:fldChar w:fldCharType="separate"/>
        </w:r>
        <w:r>
          <w:rPr>
            <w:noProof/>
            <w:webHidden/>
          </w:rPr>
          <w:t>10</w:t>
        </w:r>
        <w:r>
          <w:rPr>
            <w:noProof/>
            <w:webHidden/>
          </w:rPr>
          <w:fldChar w:fldCharType="end"/>
        </w:r>
      </w:hyperlink>
    </w:p>
    <w:p w14:paraId="3DB3A8B0" w14:textId="4D5E02E3" w:rsidR="00355612" w:rsidRDefault="00355612">
      <w:pPr>
        <w:pStyle w:val="TOC2"/>
        <w:tabs>
          <w:tab w:val="right" w:leader="dot" w:pos="9062"/>
        </w:tabs>
        <w:rPr>
          <w:noProof/>
        </w:rPr>
      </w:pPr>
      <w:hyperlink w:anchor="_Toc235744216" w:history="1">
        <w:r w:rsidRPr="009B1116">
          <w:rPr>
            <w:rStyle w:val="aff9"/>
            <w:rFonts w:ascii="黑体" w:eastAsia="黑体" w:hAnsi="黑体"/>
            <w:b/>
            <w:noProof/>
          </w:rPr>
          <w:t>3.1  数据预处理的关键要点</w:t>
        </w:r>
        <w:r>
          <w:rPr>
            <w:noProof/>
            <w:webHidden/>
          </w:rPr>
          <w:tab/>
        </w:r>
        <w:r>
          <w:rPr>
            <w:noProof/>
            <w:webHidden/>
          </w:rPr>
          <w:fldChar w:fldCharType="begin"/>
        </w:r>
        <w:r>
          <w:rPr>
            <w:noProof/>
            <w:webHidden/>
          </w:rPr>
          <w:instrText xml:space="preserve"> PAGEREF _Toc235744216 \h </w:instrText>
        </w:r>
        <w:r>
          <w:rPr>
            <w:noProof/>
            <w:webHidden/>
          </w:rPr>
        </w:r>
        <w:r>
          <w:rPr>
            <w:noProof/>
            <w:webHidden/>
          </w:rPr>
          <w:fldChar w:fldCharType="separate"/>
        </w:r>
        <w:r>
          <w:rPr>
            <w:noProof/>
            <w:webHidden/>
          </w:rPr>
          <w:t>10</w:t>
        </w:r>
        <w:r>
          <w:rPr>
            <w:noProof/>
            <w:webHidden/>
          </w:rPr>
          <w:fldChar w:fldCharType="end"/>
        </w:r>
      </w:hyperlink>
    </w:p>
    <w:p w14:paraId="305B4B38" w14:textId="172599F0" w:rsidR="00355612" w:rsidRDefault="00355612">
      <w:pPr>
        <w:pStyle w:val="TOC2"/>
        <w:tabs>
          <w:tab w:val="right" w:leader="dot" w:pos="9062"/>
        </w:tabs>
        <w:rPr>
          <w:noProof/>
        </w:rPr>
      </w:pPr>
      <w:hyperlink w:anchor="_Toc235744217" w:history="1">
        <w:r w:rsidRPr="009B1116">
          <w:rPr>
            <w:rStyle w:val="aff9"/>
            <w:rFonts w:ascii="黑体" w:eastAsia="黑体" w:hAnsi="黑体"/>
            <w:b/>
            <w:noProof/>
          </w:rPr>
          <w:t>3.2  特征工程的关键要点</w:t>
        </w:r>
        <w:r>
          <w:rPr>
            <w:noProof/>
            <w:webHidden/>
          </w:rPr>
          <w:tab/>
        </w:r>
        <w:r>
          <w:rPr>
            <w:noProof/>
            <w:webHidden/>
          </w:rPr>
          <w:fldChar w:fldCharType="begin"/>
        </w:r>
        <w:r>
          <w:rPr>
            <w:noProof/>
            <w:webHidden/>
          </w:rPr>
          <w:instrText xml:space="preserve"> PAGEREF _Toc235744217 \h </w:instrText>
        </w:r>
        <w:r>
          <w:rPr>
            <w:noProof/>
            <w:webHidden/>
          </w:rPr>
        </w:r>
        <w:r>
          <w:rPr>
            <w:noProof/>
            <w:webHidden/>
          </w:rPr>
          <w:fldChar w:fldCharType="separate"/>
        </w:r>
        <w:r>
          <w:rPr>
            <w:noProof/>
            <w:webHidden/>
          </w:rPr>
          <w:t>11</w:t>
        </w:r>
        <w:r>
          <w:rPr>
            <w:noProof/>
            <w:webHidden/>
          </w:rPr>
          <w:fldChar w:fldCharType="end"/>
        </w:r>
      </w:hyperlink>
    </w:p>
    <w:p w14:paraId="396170AC" w14:textId="4C89D769" w:rsidR="00355612" w:rsidRDefault="00355612">
      <w:pPr>
        <w:pStyle w:val="TOC2"/>
        <w:tabs>
          <w:tab w:val="right" w:leader="dot" w:pos="9062"/>
        </w:tabs>
        <w:rPr>
          <w:noProof/>
        </w:rPr>
      </w:pPr>
      <w:hyperlink w:anchor="_Toc235744218" w:history="1">
        <w:r w:rsidRPr="009B1116">
          <w:rPr>
            <w:rStyle w:val="aff9"/>
            <w:rFonts w:ascii="黑体" w:eastAsia="黑体" w:hAnsi="黑体"/>
            <w:b/>
            <w:noProof/>
          </w:rPr>
          <w:t>3.3  模型选择与训练的关键要点</w:t>
        </w:r>
        <w:r>
          <w:rPr>
            <w:noProof/>
            <w:webHidden/>
          </w:rPr>
          <w:tab/>
        </w:r>
        <w:r>
          <w:rPr>
            <w:noProof/>
            <w:webHidden/>
          </w:rPr>
          <w:fldChar w:fldCharType="begin"/>
        </w:r>
        <w:r>
          <w:rPr>
            <w:noProof/>
            <w:webHidden/>
          </w:rPr>
          <w:instrText xml:space="preserve"> PAGEREF _Toc235744218 \h </w:instrText>
        </w:r>
        <w:r>
          <w:rPr>
            <w:noProof/>
            <w:webHidden/>
          </w:rPr>
        </w:r>
        <w:r>
          <w:rPr>
            <w:noProof/>
            <w:webHidden/>
          </w:rPr>
          <w:fldChar w:fldCharType="separate"/>
        </w:r>
        <w:r>
          <w:rPr>
            <w:noProof/>
            <w:webHidden/>
          </w:rPr>
          <w:t>11</w:t>
        </w:r>
        <w:r>
          <w:rPr>
            <w:noProof/>
            <w:webHidden/>
          </w:rPr>
          <w:fldChar w:fldCharType="end"/>
        </w:r>
      </w:hyperlink>
    </w:p>
    <w:p w14:paraId="6A2C3B57" w14:textId="76E40E03" w:rsidR="00355612" w:rsidRDefault="00355612">
      <w:pPr>
        <w:pStyle w:val="TOC2"/>
        <w:tabs>
          <w:tab w:val="right" w:leader="dot" w:pos="9062"/>
        </w:tabs>
        <w:rPr>
          <w:noProof/>
        </w:rPr>
      </w:pPr>
      <w:hyperlink w:anchor="_Toc235744219" w:history="1">
        <w:r w:rsidRPr="009B1116">
          <w:rPr>
            <w:rStyle w:val="aff9"/>
            <w:rFonts w:ascii="黑体" w:eastAsia="黑体" w:hAnsi="黑体"/>
            <w:b/>
            <w:noProof/>
          </w:rPr>
          <w:t>3.4  模型评估与优化的关键要点</w:t>
        </w:r>
        <w:r>
          <w:rPr>
            <w:noProof/>
            <w:webHidden/>
          </w:rPr>
          <w:tab/>
        </w:r>
        <w:r>
          <w:rPr>
            <w:noProof/>
            <w:webHidden/>
          </w:rPr>
          <w:fldChar w:fldCharType="begin"/>
        </w:r>
        <w:r>
          <w:rPr>
            <w:noProof/>
            <w:webHidden/>
          </w:rPr>
          <w:instrText xml:space="preserve"> PAGEREF _Toc235744219 \h </w:instrText>
        </w:r>
        <w:r>
          <w:rPr>
            <w:noProof/>
            <w:webHidden/>
          </w:rPr>
        </w:r>
        <w:r>
          <w:rPr>
            <w:noProof/>
            <w:webHidden/>
          </w:rPr>
          <w:fldChar w:fldCharType="separate"/>
        </w:r>
        <w:r>
          <w:rPr>
            <w:noProof/>
            <w:webHidden/>
          </w:rPr>
          <w:t>11</w:t>
        </w:r>
        <w:r>
          <w:rPr>
            <w:noProof/>
            <w:webHidden/>
          </w:rPr>
          <w:fldChar w:fldCharType="end"/>
        </w:r>
      </w:hyperlink>
    </w:p>
    <w:p w14:paraId="3DED7609" w14:textId="136142D0" w:rsidR="00355612" w:rsidRDefault="00355612">
      <w:pPr>
        <w:pStyle w:val="TOC2"/>
        <w:tabs>
          <w:tab w:val="right" w:leader="dot" w:pos="9062"/>
        </w:tabs>
        <w:rPr>
          <w:noProof/>
        </w:rPr>
      </w:pPr>
      <w:hyperlink w:anchor="_Toc235744220" w:history="1">
        <w:r w:rsidRPr="009B1116">
          <w:rPr>
            <w:rStyle w:val="aff9"/>
            <w:rFonts w:ascii="黑体" w:eastAsia="黑体" w:hAnsi="黑体"/>
            <w:b/>
            <w:noProof/>
          </w:rPr>
          <w:t>3.5  优势、局限与未来趋势</w:t>
        </w:r>
        <w:r>
          <w:rPr>
            <w:noProof/>
            <w:webHidden/>
          </w:rPr>
          <w:tab/>
        </w:r>
        <w:r>
          <w:rPr>
            <w:noProof/>
            <w:webHidden/>
          </w:rPr>
          <w:fldChar w:fldCharType="begin"/>
        </w:r>
        <w:r>
          <w:rPr>
            <w:noProof/>
            <w:webHidden/>
          </w:rPr>
          <w:instrText xml:space="preserve"> PAGEREF _Toc235744220 \h </w:instrText>
        </w:r>
        <w:r>
          <w:rPr>
            <w:noProof/>
            <w:webHidden/>
          </w:rPr>
        </w:r>
        <w:r>
          <w:rPr>
            <w:noProof/>
            <w:webHidden/>
          </w:rPr>
          <w:fldChar w:fldCharType="separate"/>
        </w:r>
        <w:r>
          <w:rPr>
            <w:noProof/>
            <w:webHidden/>
          </w:rPr>
          <w:t>11</w:t>
        </w:r>
        <w:r>
          <w:rPr>
            <w:noProof/>
            <w:webHidden/>
          </w:rPr>
          <w:fldChar w:fldCharType="end"/>
        </w:r>
      </w:hyperlink>
    </w:p>
    <w:p w14:paraId="59D613A8" w14:textId="4082828E" w:rsidR="00355612" w:rsidRDefault="00355612">
      <w:pPr>
        <w:pStyle w:val="TOC1"/>
        <w:tabs>
          <w:tab w:val="right" w:leader="dot" w:pos="9062"/>
        </w:tabs>
        <w:rPr>
          <w:noProof/>
        </w:rPr>
      </w:pPr>
      <w:hyperlink w:anchor="_Toc235744221" w:history="1">
        <w:r w:rsidRPr="009B1116">
          <w:rPr>
            <w:rStyle w:val="aff9"/>
            <w:rFonts w:ascii="黑体" w:eastAsia="黑体" w:hAnsi="黑体"/>
            <w:b/>
            <w:noProof/>
          </w:rPr>
          <w:t>第四章  结论与展望</w:t>
        </w:r>
        <w:r>
          <w:rPr>
            <w:noProof/>
            <w:webHidden/>
          </w:rPr>
          <w:tab/>
        </w:r>
        <w:r>
          <w:rPr>
            <w:noProof/>
            <w:webHidden/>
          </w:rPr>
          <w:fldChar w:fldCharType="begin"/>
        </w:r>
        <w:r>
          <w:rPr>
            <w:noProof/>
            <w:webHidden/>
          </w:rPr>
          <w:instrText xml:space="preserve"> PAGEREF _Toc235744221 \h </w:instrText>
        </w:r>
        <w:r>
          <w:rPr>
            <w:noProof/>
            <w:webHidden/>
          </w:rPr>
        </w:r>
        <w:r>
          <w:rPr>
            <w:noProof/>
            <w:webHidden/>
          </w:rPr>
          <w:fldChar w:fldCharType="separate"/>
        </w:r>
        <w:r>
          <w:rPr>
            <w:noProof/>
            <w:webHidden/>
          </w:rPr>
          <w:t>11</w:t>
        </w:r>
        <w:r>
          <w:rPr>
            <w:noProof/>
            <w:webHidden/>
          </w:rPr>
          <w:fldChar w:fldCharType="end"/>
        </w:r>
      </w:hyperlink>
    </w:p>
    <w:p w14:paraId="04BCEC73" w14:textId="05205EAE" w:rsidR="00355612" w:rsidRDefault="00355612">
      <w:pPr>
        <w:pStyle w:val="TOC2"/>
        <w:tabs>
          <w:tab w:val="right" w:leader="dot" w:pos="9062"/>
        </w:tabs>
        <w:rPr>
          <w:noProof/>
        </w:rPr>
      </w:pPr>
      <w:hyperlink w:anchor="_Toc235744222" w:history="1">
        <w:r w:rsidRPr="009B1116">
          <w:rPr>
            <w:rStyle w:val="aff9"/>
            <w:rFonts w:ascii="黑体" w:eastAsia="黑体" w:hAnsi="黑体"/>
            <w:b/>
            <w:noProof/>
          </w:rPr>
          <w:t>4.1  主要收获与体会</w:t>
        </w:r>
        <w:r>
          <w:rPr>
            <w:noProof/>
            <w:webHidden/>
          </w:rPr>
          <w:tab/>
        </w:r>
        <w:r>
          <w:rPr>
            <w:noProof/>
            <w:webHidden/>
          </w:rPr>
          <w:fldChar w:fldCharType="begin"/>
        </w:r>
        <w:r>
          <w:rPr>
            <w:noProof/>
            <w:webHidden/>
          </w:rPr>
          <w:instrText xml:space="preserve"> PAGEREF _Toc235744222 \h </w:instrText>
        </w:r>
        <w:r>
          <w:rPr>
            <w:noProof/>
            <w:webHidden/>
          </w:rPr>
        </w:r>
        <w:r>
          <w:rPr>
            <w:noProof/>
            <w:webHidden/>
          </w:rPr>
          <w:fldChar w:fldCharType="separate"/>
        </w:r>
        <w:r>
          <w:rPr>
            <w:noProof/>
            <w:webHidden/>
          </w:rPr>
          <w:t>12</w:t>
        </w:r>
        <w:r>
          <w:rPr>
            <w:noProof/>
            <w:webHidden/>
          </w:rPr>
          <w:fldChar w:fldCharType="end"/>
        </w:r>
      </w:hyperlink>
    </w:p>
    <w:p w14:paraId="5EC7B824" w14:textId="4745CF8D" w:rsidR="00355612" w:rsidRDefault="00355612">
      <w:pPr>
        <w:pStyle w:val="TOC2"/>
        <w:tabs>
          <w:tab w:val="right" w:leader="dot" w:pos="9062"/>
        </w:tabs>
        <w:rPr>
          <w:noProof/>
        </w:rPr>
      </w:pPr>
      <w:hyperlink w:anchor="_Toc235744223" w:history="1">
        <w:r w:rsidRPr="009B1116">
          <w:rPr>
            <w:rStyle w:val="aff9"/>
            <w:rFonts w:ascii="黑体" w:eastAsia="黑体" w:hAnsi="黑体"/>
            <w:b/>
            <w:noProof/>
          </w:rPr>
          <w:t>4.2  未来学习与研究方向展望</w:t>
        </w:r>
        <w:r>
          <w:rPr>
            <w:noProof/>
            <w:webHidden/>
          </w:rPr>
          <w:tab/>
        </w:r>
        <w:r>
          <w:rPr>
            <w:noProof/>
            <w:webHidden/>
          </w:rPr>
          <w:fldChar w:fldCharType="begin"/>
        </w:r>
        <w:r>
          <w:rPr>
            <w:noProof/>
            <w:webHidden/>
          </w:rPr>
          <w:instrText xml:space="preserve"> PAGEREF _Toc235744223 \h </w:instrText>
        </w:r>
        <w:r>
          <w:rPr>
            <w:noProof/>
            <w:webHidden/>
          </w:rPr>
        </w:r>
        <w:r>
          <w:rPr>
            <w:noProof/>
            <w:webHidden/>
          </w:rPr>
          <w:fldChar w:fldCharType="separate"/>
        </w:r>
        <w:r>
          <w:rPr>
            <w:noProof/>
            <w:webHidden/>
          </w:rPr>
          <w:t>12</w:t>
        </w:r>
        <w:r>
          <w:rPr>
            <w:noProof/>
            <w:webHidden/>
          </w:rPr>
          <w:fldChar w:fldCharType="end"/>
        </w:r>
      </w:hyperlink>
    </w:p>
    <w:p w14:paraId="2EF0180B" w14:textId="6FFEA7FE" w:rsidR="00355612" w:rsidRDefault="00355612">
      <w:pPr>
        <w:pStyle w:val="TOC1"/>
        <w:tabs>
          <w:tab w:val="right" w:leader="dot" w:pos="9062"/>
        </w:tabs>
        <w:rPr>
          <w:noProof/>
        </w:rPr>
      </w:pPr>
      <w:hyperlink w:anchor="_Toc235744224" w:history="1">
        <w:r w:rsidRPr="009B1116">
          <w:rPr>
            <w:rStyle w:val="aff9"/>
            <w:rFonts w:ascii="黑体" w:eastAsia="黑体" w:hAnsi="黑体"/>
            <w:b/>
            <w:noProof/>
          </w:rPr>
          <w:t>附录  针对性改进建议</w:t>
        </w:r>
        <w:r>
          <w:rPr>
            <w:noProof/>
            <w:webHidden/>
          </w:rPr>
          <w:tab/>
        </w:r>
        <w:r>
          <w:rPr>
            <w:noProof/>
            <w:webHidden/>
          </w:rPr>
          <w:fldChar w:fldCharType="begin"/>
        </w:r>
        <w:r>
          <w:rPr>
            <w:noProof/>
            <w:webHidden/>
          </w:rPr>
          <w:instrText xml:space="preserve"> PAGEREF _Toc235744224 \h </w:instrText>
        </w:r>
        <w:r>
          <w:rPr>
            <w:noProof/>
            <w:webHidden/>
          </w:rPr>
        </w:r>
        <w:r>
          <w:rPr>
            <w:noProof/>
            <w:webHidden/>
          </w:rPr>
          <w:fldChar w:fldCharType="separate"/>
        </w:r>
        <w:r>
          <w:rPr>
            <w:noProof/>
            <w:webHidden/>
          </w:rPr>
          <w:t>12</w:t>
        </w:r>
        <w:r>
          <w:rPr>
            <w:noProof/>
            <w:webHidden/>
          </w:rPr>
          <w:fldChar w:fldCharType="end"/>
        </w:r>
      </w:hyperlink>
    </w:p>
    <w:p w14:paraId="4BD7251A" w14:textId="77777777" w:rsidR="007067EA" w:rsidRDefault="00355612">
      <w:r>
        <w:fldChar w:fldCharType="end"/>
      </w:r>
    </w:p>
    <w:p w14:paraId="17B73EC0" w14:textId="77777777" w:rsidR="007067EA" w:rsidRDefault="00355612">
      <w:r>
        <w:br w:type="page"/>
      </w:r>
    </w:p>
    <w:p w14:paraId="6BEEF93B" w14:textId="77777777" w:rsidR="007067EA" w:rsidRDefault="00355612">
      <w:pPr>
        <w:spacing w:before="120" w:after="80"/>
        <w:outlineLvl w:val="0"/>
      </w:pPr>
      <w:bookmarkStart w:id="2" w:name="_Toc235744204"/>
      <w:r>
        <w:rPr>
          <w:rFonts w:ascii="黑体" w:eastAsia="黑体" w:hAnsi="黑体"/>
          <w:b/>
          <w:sz w:val="32"/>
        </w:rPr>
        <w:lastRenderedPageBreak/>
        <w:t>摘要</w:t>
      </w:r>
      <w:bookmarkEnd w:id="2"/>
    </w:p>
    <w:p w14:paraId="49DC3017" w14:textId="77777777" w:rsidR="007067EA" w:rsidRDefault="00355612">
      <w:pPr>
        <w:ind w:firstLine="420"/>
        <w:jc w:val="both"/>
      </w:pPr>
      <w:r>
        <w:t>本报告系统总结了量化交易工作坊前七项任务的实践过程与学习成果。研究以长江电力、贵州茅台、中国平安等标的的真实行情数据为基础，依次完成了数据引擎搭建、技术指标构造、均线交叉与海龟突破两类经典策略的回测、机器学习模型在金融场景中的应用，以及基于多因子的截面选股与实盘模拟。主要结论如下：均线交叉策略在震荡市中通过降低交易频率有效抑制了回撤；海龟策略对高波动标的表现更优，但整体胜率偏低；机器学习在结构化医学数据上判别力强，而直接预测股价短期涨跌的模型判别能力普遍低于随机基准，说明线性时序规律有限；截面选股中极端梯度</w:t>
      </w:r>
      <w:r>
        <w:t>提升模型凭借唯一为正的信息系数跑赢等权基准。报告据此提出针对性的改进建议，并对多策略系统与深度学习等方向作出展望。</w:t>
      </w:r>
    </w:p>
    <w:p w14:paraId="1F2DAC50" w14:textId="77777777" w:rsidR="007067EA" w:rsidRDefault="00355612">
      <w:r>
        <w:br w:type="page"/>
      </w:r>
    </w:p>
    <w:p w14:paraId="36383741" w14:textId="77777777" w:rsidR="007067EA" w:rsidRDefault="00355612">
      <w:pPr>
        <w:spacing w:before="120" w:after="80"/>
        <w:outlineLvl w:val="0"/>
      </w:pPr>
      <w:bookmarkStart w:id="3" w:name="_Toc235744205"/>
      <w:r>
        <w:rPr>
          <w:rFonts w:ascii="黑体" w:eastAsia="黑体" w:hAnsi="黑体"/>
          <w:b/>
          <w:sz w:val="32"/>
        </w:rPr>
        <w:lastRenderedPageBreak/>
        <w:t>第一章</w:t>
      </w:r>
      <w:r>
        <w:rPr>
          <w:rFonts w:ascii="黑体" w:eastAsia="黑体" w:hAnsi="黑体"/>
          <w:b/>
          <w:sz w:val="32"/>
        </w:rPr>
        <w:t xml:space="preserve">  </w:t>
      </w:r>
      <w:r>
        <w:rPr>
          <w:rFonts w:ascii="黑体" w:eastAsia="黑体" w:hAnsi="黑体"/>
          <w:b/>
          <w:sz w:val="32"/>
        </w:rPr>
        <w:t>量化交易核心概念</w:t>
      </w:r>
      <w:bookmarkEnd w:id="3"/>
    </w:p>
    <w:p w14:paraId="25AC8950" w14:textId="77777777" w:rsidR="007067EA" w:rsidRDefault="00355612">
      <w:pPr>
        <w:spacing w:before="80" w:after="80"/>
        <w:outlineLvl w:val="1"/>
      </w:pPr>
      <w:bookmarkStart w:id="4" w:name="_Toc235744206"/>
      <w:r>
        <w:rPr>
          <w:rFonts w:ascii="黑体" w:eastAsia="黑体" w:hAnsi="黑体"/>
          <w:b/>
          <w:sz w:val="28"/>
        </w:rPr>
        <w:t xml:space="preserve">1.1  </w:t>
      </w:r>
      <w:r>
        <w:rPr>
          <w:rFonts w:ascii="黑体" w:eastAsia="黑体" w:hAnsi="黑体"/>
          <w:b/>
          <w:sz w:val="28"/>
        </w:rPr>
        <w:t>量化交易的基本概念</w:t>
      </w:r>
      <w:bookmarkEnd w:id="4"/>
    </w:p>
    <w:p w14:paraId="671C8D97" w14:textId="77777777" w:rsidR="007067EA" w:rsidRDefault="00355612">
      <w:pPr>
        <w:ind w:firstLine="420"/>
        <w:jc w:val="both"/>
      </w:pPr>
      <w:r>
        <w:t>量化交易是指以数学模型和计算机程序替代人工主观判断，将投资逻辑转化为可回测、可执行的交易信号的一种投资方式。其研究对象的原始素材是市场产生的各类数据，包括逐日成交的价格与成交量，以及反映公司财务与宏观环境的基本面信息。在方法层面，量化研究通常从两条路径切入：一是技术面分析，它建立于</w:t>
      </w:r>
      <w:r>
        <w:t>“</w:t>
      </w:r>
      <w:r>
        <w:t>市场价格包容一切信息、价格沿趋势运动、历史会重演</w:t>
      </w:r>
      <w:r>
        <w:t>”</w:t>
      </w:r>
      <w:r>
        <w:t>三大假设之上，借助移动均线、相对强弱、指数平滑异同移动平均线、布林带、随机指标等工具刻画买卖力量与超买超卖状态；二是基本面分析，从宏观经济、所属行业与企业自身三个层级评估内在价值，常以估值水平与财务报表为核心依据。</w:t>
      </w:r>
    </w:p>
    <w:p w14:paraId="4D70B74A" w14:textId="77777777" w:rsidR="007067EA" w:rsidRDefault="00355612">
      <w:pPr>
        <w:ind w:firstLine="420"/>
        <w:jc w:val="both"/>
      </w:pPr>
      <w:r>
        <w:t>本工作坊的前两项任务即从这两类基础概念起步：任务一搭建了获取个股日线数据的自动化引擎，任务二对数据进行缺失值与统计分布诊断，并逐一实现了相对强弱、指数平滑异同移动平均线、布林带与随机指标四类技术指标的工程化计算。上述基础能力构成了后续所有策略研究的共同底座。</w:t>
      </w:r>
    </w:p>
    <w:p w14:paraId="78347F20" w14:textId="77777777" w:rsidR="007067EA" w:rsidRDefault="00355612">
      <w:pPr>
        <w:spacing w:before="80" w:after="80"/>
        <w:outlineLvl w:val="1"/>
      </w:pPr>
      <w:bookmarkStart w:id="5" w:name="_Toc235744207"/>
      <w:r>
        <w:rPr>
          <w:rFonts w:ascii="黑体" w:eastAsia="黑体" w:hAnsi="黑体"/>
          <w:b/>
          <w:sz w:val="28"/>
        </w:rPr>
        <w:t xml:space="preserve">1.2  </w:t>
      </w:r>
      <w:r>
        <w:rPr>
          <w:rFonts w:ascii="黑体" w:eastAsia="黑体" w:hAnsi="黑体"/>
          <w:b/>
          <w:sz w:val="28"/>
        </w:rPr>
        <w:t>量化交易的核心价值</w:t>
      </w:r>
      <w:bookmarkEnd w:id="5"/>
    </w:p>
    <w:p w14:paraId="10FDE863" w14:textId="77777777" w:rsidR="007067EA" w:rsidRDefault="00355612">
      <w:pPr>
        <w:ind w:firstLine="420"/>
        <w:jc w:val="both"/>
      </w:pPr>
      <w:r>
        <w:t>与依赖经验与情绪的传统人工交易相比，量化交易的核心价值可归纳为六个方面。第一，纪律性：策略由程序严格执行，规避了恐惧与贪婪对决策的干扰。第二，执行速度：算法可在极短时间完成下单，捕捉转瞬即逝的机会。第三，数据处理规模：能够同时监控成百上千只标的，超越人脑的信息负荷上限。第四，可验证性：任何策略都可在历史数据上回测，用统一指标客观评估优劣。第五，风险可控：止损、仓位管理与分散化可由规则自动落地。第六，可复用与可扩展：验证有效的策略可反复运行，并便捷地推广到新市场。正是这些特质，使量化方法成为现代投资研究的主流</w:t>
      </w:r>
      <w:r>
        <w:t>范式，也为本报告后续七项任务的递进式学习提供了清晰的价值主线。</w:t>
      </w:r>
    </w:p>
    <w:p w14:paraId="77C8D7E2" w14:textId="77777777" w:rsidR="007067EA" w:rsidRDefault="00355612">
      <w:pPr>
        <w:jc w:val="center"/>
      </w:pPr>
      <w:r>
        <w:rPr>
          <w:noProof/>
        </w:rPr>
        <w:drawing>
          <wp:inline distT="0" distB="0" distL="0" distR="0" wp14:anchorId="203D3136" wp14:editId="6695B623">
            <wp:extent cx="5400000" cy="2038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ath.png"/>
                    <pic:cNvPicPr/>
                  </pic:nvPicPr>
                  <pic:blipFill>
                    <a:blip r:embed="rId8"/>
                    <a:stretch>
                      <a:fillRect/>
                    </a:stretch>
                  </pic:blipFill>
                  <pic:spPr>
                    <a:xfrm>
                      <a:off x="0" y="0"/>
                      <a:ext cx="5400000" cy="2038362"/>
                    </a:xfrm>
                    <a:prstGeom prst="rect">
                      <a:avLst/>
                    </a:prstGeom>
                  </pic:spPr>
                </pic:pic>
              </a:graphicData>
            </a:graphic>
          </wp:inline>
        </w:drawing>
      </w:r>
    </w:p>
    <w:p w14:paraId="6F0EE299" w14:textId="77777777" w:rsidR="007067EA" w:rsidRDefault="00355612">
      <w:pPr>
        <w:spacing w:before="40" w:after="120"/>
        <w:jc w:val="center"/>
      </w:pPr>
      <w:r>
        <w:t>图</w:t>
      </w:r>
      <w:r>
        <w:t xml:space="preserve">1  </w:t>
      </w:r>
      <w:r>
        <w:t>七项任务的学习路径与能力演进</w:t>
      </w:r>
    </w:p>
    <w:p w14:paraId="2917FE32" w14:textId="77777777" w:rsidR="007067EA" w:rsidRDefault="00355612">
      <w:pPr>
        <w:spacing w:before="120" w:after="80"/>
        <w:outlineLvl w:val="0"/>
      </w:pPr>
      <w:bookmarkStart w:id="6" w:name="_Toc235744208"/>
      <w:r>
        <w:rPr>
          <w:rFonts w:ascii="黑体" w:eastAsia="黑体" w:hAnsi="黑体"/>
          <w:b/>
          <w:sz w:val="32"/>
        </w:rPr>
        <w:t>第二章</w:t>
      </w:r>
      <w:r>
        <w:rPr>
          <w:rFonts w:ascii="黑体" w:eastAsia="黑体" w:hAnsi="黑体"/>
          <w:b/>
          <w:sz w:val="32"/>
        </w:rPr>
        <w:t xml:space="preserve">  </w:t>
      </w:r>
      <w:r>
        <w:rPr>
          <w:rFonts w:ascii="黑体" w:eastAsia="黑体" w:hAnsi="黑体"/>
          <w:b/>
          <w:sz w:val="32"/>
        </w:rPr>
        <w:t>量化交易策略综合分析</w:t>
      </w:r>
      <w:bookmarkEnd w:id="6"/>
    </w:p>
    <w:p w14:paraId="187F8C53" w14:textId="77777777" w:rsidR="007067EA" w:rsidRDefault="00355612">
      <w:pPr>
        <w:spacing w:before="80" w:after="80"/>
        <w:outlineLvl w:val="1"/>
      </w:pPr>
      <w:bookmarkStart w:id="7" w:name="_Toc235744209"/>
      <w:r>
        <w:rPr>
          <w:rFonts w:ascii="黑体" w:eastAsia="黑体" w:hAnsi="黑体"/>
          <w:b/>
          <w:sz w:val="28"/>
        </w:rPr>
        <w:t xml:space="preserve">2.1  </w:t>
      </w:r>
      <w:r>
        <w:rPr>
          <w:rFonts w:ascii="黑体" w:eastAsia="黑体" w:hAnsi="黑体"/>
          <w:b/>
          <w:sz w:val="28"/>
        </w:rPr>
        <w:t>均线交叉策略（任务三）</w:t>
      </w:r>
      <w:bookmarkEnd w:id="7"/>
    </w:p>
    <w:p w14:paraId="7036FC8E" w14:textId="77777777" w:rsidR="007067EA" w:rsidRDefault="00355612">
      <w:pPr>
        <w:ind w:firstLine="420"/>
        <w:jc w:val="both"/>
      </w:pPr>
      <w:r>
        <w:lastRenderedPageBreak/>
        <w:t>均线交叉策略是最具代表性的趋势类策略：当短期均线由下向上穿过长期均线时视为买入信号，反之视为卖出信号。任务三以长江电力为基准标的，将原始单体代码重构为十个职责单一的模块，系统比较了不同均线周期、四种仓位管理模式以及多只标的的表现。回测表明，在样本区间内该策略虽未取得显著绝对收益，但相对</w:t>
      </w:r>
      <w:r>
        <w:t>“</w:t>
      </w:r>
      <w:r>
        <w:t>买入并持有</w:t>
      </w:r>
      <w:r>
        <w:t>”</w:t>
      </w:r>
      <w:r>
        <w:t>均获得正超额收益，说明择时机制在震荡下行</w:t>
      </w:r>
      <w:r>
        <w:t>市中起到了一定的保护作用。</w:t>
      </w:r>
    </w:p>
    <w:p w14:paraId="0883BA77" w14:textId="77777777" w:rsidR="007067EA" w:rsidRDefault="00355612">
      <w:pPr>
        <w:spacing w:before="120" w:after="80"/>
        <w:jc w:val="center"/>
      </w:pPr>
      <w:r>
        <w:rPr>
          <w:b/>
        </w:rPr>
        <w:t>表</w:t>
      </w:r>
      <w:r>
        <w:rPr>
          <w:b/>
        </w:rPr>
        <w:t xml:space="preserve">1  </w:t>
      </w:r>
      <w:r>
        <w:rPr>
          <w:b/>
        </w:rPr>
        <w:t>均线交叉策略代表参数与标的绩效</w:t>
      </w:r>
    </w:p>
    <w:tbl>
      <w:tblPr>
        <w:tblStyle w:val="aff1"/>
        <w:tblW w:w="0" w:type="auto"/>
        <w:jc w:val="center"/>
        <w:tblLayout w:type="fixed"/>
        <w:tblLook w:val="04A0" w:firstRow="1" w:lastRow="0" w:firstColumn="1" w:lastColumn="0" w:noHBand="0" w:noVBand="1"/>
      </w:tblPr>
      <w:tblGrid>
        <w:gridCol w:w="1701"/>
        <w:gridCol w:w="1474"/>
        <w:gridCol w:w="1474"/>
        <w:gridCol w:w="1474"/>
        <w:gridCol w:w="1474"/>
        <w:gridCol w:w="1474"/>
      </w:tblGrid>
      <w:tr w:rsidR="007067EA" w14:paraId="5A7E531F" w14:textId="77777777">
        <w:trPr>
          <w:cantSplit/>
          <w:jc w:val="center"/>
        </w:trPr>
        <w:tc>
          <w:tcPr>
            <w:tcW w:w="1701" w:type="dxa"/>
          </w:tcPr>
          <w:p w14:paraId="409529D8" w14:textId="77777777" w:rsidR="007067EA" w:rsidRDefault="00355612">
            <w:pPr>
              <w:spacing w:before="40" w:after="40" w:line="240" w:lineRule="auto"/>
              <w:jc w:val="center"/>
            </w:pPr>
            <w:r>
              <w:rPr>
                <w:rFonts w:ascii="黑体" w:eastAsia="黑体" w:hAnsi="黑体"/>
                <w:b/>
              </w:rPr>
              <w:t>参数组合</w:t>
            </w:r>
          </w:p>
        </w:tc>
        <w:tc>
          <w:tcPr>
            <w:tcW w:w="1474" w:type="dxa"/>
          </w:tcPr>
          <w:p w14:paraId="3573094E" w14:textId="77777777" w:rsidR="007067EA" w:rsidRDefault="00355612">
            <w:pPr>
              <w:spacing w:before="40" w:after="40" w:line="240" w:lineRule="auto"/>
              <w:jc w:val="center"/>
            </w:pPr>
            <w:r>
              <w:rPr>
                <w:rFonts w:ascii="黑体" w:eastAsia="黑体" w:hAnsi="黑体"/>
                <w:b/>
              </w:rPr>
              <w:t>总收益率</w:t>
            </w:r>
            <w:r>
              <w:rPr>
                <w:rFonts w:ascii="黑体" w:eastAsia="黑体" w:hAnsi="黑体"/>
                <w:b/>
              </w:rPr>
              <w:t>(%)</w:t>
            </w:r>
          </w:p>
        </w:tc>
        <w:tc>
          <w:tcPr>
            <w:tcW w:w="1474" w:type="dxa"/>
          </w:tcPr>
          <w:p w14:paraId="1938B3E7" w14:textId="77777777" w:rsidR="007067EA" w:rsidRDefault="00355612">
            <w:pPr>
              <w:spacing w:before="40" w:after="40" w:line="240" w:lineRule="auto"/>
              <w:jc w:val="center"/>
            </w:pPr>
            <w:r>
              <w:rPr>
                <w:rFonts w:ascii="黑体" w:eastAsia="黑体" w:hAnsi="黑体"/>
                <w:b/>
              </w:rPr>
              <w:t>年化收益率</w:t>
            </w:r>
            <w:r>
              <w:rPr>
                <w:rFonts w:ascii="黑体" w:eastAsia="黑体" w:hAnsi="黑体"/>
                <w:b/>
              </w:rPr>
              <w:t>(%)</w:t>
            </w:r>
          </w:p>
        </w:tc>
        <w:tc>
          <w:tcPr>
            <w:tcW w:w="1474" w:type="dxa"/>
          </w:tcPr>
          <w:p w14:paraId="2F5A7218" w14:textId="77777777" w:rsidR="007067EA" w:rsidRDefault="00355612">
            <w:pPr>
              <w:spacing w:before="40" w:after="40" w:line="240" w:lineRule="auto"/>
              <w:jc w:val="center"/>
            </w:pPr>
            <w:r>
              <w:rPr>
                <w:rFonts w:ascii="黑体" w:eastAsia="黑体" w:hAnsi="黑体"/>
                <w:b/>
              </w:rPr>
              <w:t>超额收益</w:t>
            </w:r>
            <w:r>
              <w:rPr>
                <w:rFonts w:ascii="黑体" w:eastAsia="黑体" w:hAnsi="黑体"/>
                <w:b/>
              </w:rPr>
              <w:t>(%)</w:t>
            </w:r>
          </w:p>
        </w:tc>
        <w:tc>
          <w:tcPr>
            <w:tcW w:w="1474" w:type="dxa"/>
          </w:tcPr>
          <w:p w14:paraId="3BD7E001" w14:textId="77777777" w:rsidR="007067EA" w:rsidRDefault="00355612">
            <w:pPr>
              <w:spacing w:before="40" w:after="40" w:line="240" w:lineRule="auto"/>
              <w:jc w:val="center"/>
            </w:pPr>
            <w:r>
              <w:rPr>
                <w:rFonts w:ascii="黑体" w:eastAsia="黑体" w:hAnsi="黑体"/>
                <w:b/>
              </w:rPr>
              <w:t>最大回撤</w:t>
            </w:r>
            <w:r>
              <w:rPr>
                <w:rFonts w:ascii="黑体" w:eastAsia="黑体" w:hAnsi="黑体"/>
                <w:b/>
              </w:rPr>
              <w:t>(%)</w:t>
            </w:r>
          </w:p>
        </w:tc>
        <w:tc>
          <w:tcPr>
            <w:tcW w:w="1474" w:type="dxa"/>
          </w:tcPr>
          <w:p w14:paraId="63B965AC" w14:textId="77777777" w:rsidR="007067EA" w:rsidRDefault="00355612">
            <w:pPr>
              <w:spacing w:before="40" w:after="40" w:line="240" w:lineRule="auto"/>
              <w:jc w:val="center"/>
            </w:pPr>
            <w:r>
              <w:rPr>
                <w:rFonts w:ascii="黑体" w:eastAsia="黑体" w:hAnsi="黑体"/>
                <w:b/>
              </w:rPr>
              <w:t>夏普比率</w:t>
            </w:r>
          </w:p>
        </w:tc>
      </w:tr>
      <w:tr w:rsidR="007067EA" w14:paraId="3F5DAC5F" w14:textId="77777777">
        <w:trPr>
          <w:cantSplit/>
          <w:jc w:val="center"/>
        </w:trPr>
        <w:tc>
          <w:tcPr>
            <w:tcW w:w="1701" w:type="dxa"/>
          </w:tcPr>
          <w:p w14:paraId="3B47ABB9" w14:textId="77777777" w:rsidR="007067EA" w:rsidRDefault="00355612">
            <w:pPr>
              <w:spacing w:before="20" w:after="20" w:line="240" w:lineRule="auto"/>
              <w:jc w:val="center"/>
            </w:pPr>
            <w:r>
              <w:t>均线</w:t>
            </w:r>
            <w:r>
              <w:t>5/10</w:t>
            </w:r>
          </w:p>
        </w:tc>
        <w:tc>
          <w:tcPr>
            <w:tcW w:w="1474" w:type="dxa"/>
          </w:tcPr>
          <w:p w14:paraId="47939B6B" w14:textId="77777777" w:rsidR="007067EA" w:rsidRDefault="00355612">
            <w:pPr>
              <w:spacing w:before="20" w:after="20" w:line="240" w:lineRule="auto"/>
              <w:jc w:val="center"/>
            </w:pPr>
            <w:r>
              <w:t>-1.15</w:t>
            </w:r>
          </w:p>
        </w:tc>
        <w:tc>
          <w:tcPr>
            <w:tcW w:w="1474" w:type="dxa"/>
          </w:tcPr>
          <w:p w14:paraId="04BE2F17" w14:textId="77777777" w:rsidR="007067EA" w:rsidRDefault="00355612">
            <w:pPr>
              <w:spacing w:before="20" w:after="20" w:line="240" w:lineRule="auto"/>
              <w:jc w:val="center"/>
            </w:pPr>
            <w:r>
              <w:t>-1.30</w:t>
            </w:r>
          </w:p>
        </w:tc>
        <w:tc>
          <w:tcPr>
            <w:tcW w:w="1474" w:type="dxa"/>
          </w:tcPr>
          <w:p w14:paraId="0F214952" w14:textId="77777777" w:rsidR="007067EA" w:rsidRDefault="00355612">
            <w:pPr>
              <w:spacing w:before="20" w:after="20" w:line="240" w:lineRule="auto"/>
              <w:jc w:val="center"/>
            </w:pPr>
            <w:r>
              <w:t>4.95</w:t>
            </w:r>
          </w:p>
        </w:tc>
        <w:tc>
          <w:tcPr>
            <w:tcW w:w="1474" w:type="dxa"/>
          </w:tcPr>
          <w:p w14:paraId="0B06789A" w14:textId="77777777" w:rsidR="007067EA" w:rsidRDefault="00355612">
            <w:pPr>
              <w:spacing w:before="20" w:after="20" w:line="240" w:lineRule="auto"/>
              <w:jc w:val="center"/>
            </w:pPr>
            <w:r>
              <w:t>-2.17</w:t>
            </w:r>
          </w:p>
        </w:tc>
        <w:tc>
          <w:tcPr>
            <w:tcW w:w="1474" w:type="dxa"/>
          </w:tcPr>
          <w:p w14:paraId="124D6D10" w14:textId="77777777" w:rsidR="007067EA" w:rsidRDefault="00355612">
            <w:pPr>
              <w:spacing w:before="20" w:after="20" w:line="240" w:lineRule="auto"/>
              <w:jc w:val="center"/>
            </w:pPr>
            <w:r>
              <w:t>-2.18</w:t>
            </w:r>
          </w:p>
        </w:tc>
      </w:tr>
      <w:tr w:rsidR="007067EA" w14:paraId="4BCE46B3" w14:textId="77777777">
        <w:trPr>
          <w:cantSplit/>
          <w:jc w:val="center"/>
        </w:trPr>
        <w:tc>
          <w:tcPr>
            <w:tcW w:w="1701" w:type="dxa"/>
          </w:tcPr>
          <w:p w14:paraId="07AA7CC6" w14:textId="77777777" w:rsidR="007067EA" w:rsidRDefault="00355612">
            <w:pPr>
              <w:spacing w:before="20" w:after="20" w:line="240" w:lineRule="auto"/>
              <w:jc w:val="center"/>
            </w:pPr>
            <w:r>
              <w:t>均线</w:t>
            </w:r>
            <w:r>
              <w:t>5/20</w:t>
            </w:r>
          </w:p>
        </w:tc>
        <w:tc>
          <w:tcPr>
            <w:tcW w:w="1474" w:type="dxa"/>
          </w:tcPr>
          <w:p w14:paraId="32817D9D" w14:textId="77777777" w:rsidR="007067EA" w:rsidRDefault="00355612">
            <w:pPr>
              <w:spacing w:before="20" w:after="20" w:line="240" w:lineRule="auto"/>
              <w:jc w:val="center"/>
            </w:pPr>
            <w:r>
              <w:t>-0.89</w:t>
            </w:r>
          </w:p>
        </w:tc>
        <w:tc>
          <w:tcPr>
            <w:tcW w:w="1474" w:type="dxa"/>
          </w:tcPr>
          <w:p w14:paraId="2CBCC707" w14:textId="77777777" w:rsidR="007067EA" w:rsidRDefault="00355612">
            <w:pPr>
              <w:spacing w:before="20" w:after="20" w:line="240" w:lineRule="auto"/>
              <w:jc w:val="center"/>
            </w:pPr>
            <w:r>
              <w:t>-1.00</w:t>
            </w:r>
          </w:p>
        </w:tc>
        <w:tc>
          <w:tcPr>
            <w:tcW w:w="1474" w:type="dxa"/>
          </w:tcPr>
          <w:p w14:paraId="612C2CF6" w14:textId="77777777" w:rsidR="007067EA" w:rsidRDefault="00355612">
            <w:pPr>
              <w:spacing w:before="20" w:after="20" w:line="240" w:lineRule="auto"/>
              <w:jc w:val="center"/>
            </w:pPr>
            <w:r>
              <w:t>5.21</w:t>
            </w:r>
          </w:p>
        </w:tc>
        <w:tc>
          <w:tcPr>
            <w:tcW w:w="1474" w:type="dxa"/>
          </w:tcPr>
          <w:p w14:paraId="76C5B5E7" w14:textId="77777777" w:rsidR="007067EA" w:rsidRDefault="00355612">
            <w:pPr>
              <w:spacing w:before="20" w:after="20" w:line="240" w:lineRule="auto"/>
              <w:jc w:val="center"/>
            </w:pPr>
            <w:r>
              <w:t>-1.78</w:t>
            </w:r>
          </w:p>
        </w:tc>
        <w:tc>
          <w:tcPr>
            <w:tcW w:w="1474" w:type="dxa"/>
          </w:tcPr>
          <w:p w14:paraId="19E04546" w14:textId="77777777" w:rsidR="007067EA" w:rsidRDefault="00355612">
            <w:pPr>
              <w:spacing w:before="20" w:after="20" w:line="240" w:lineRule="auto"/>
              <w:jc w:val="center"/>
            </w:pPr>
            <w:r>
              <w:t>-1.80</w:t>
            </w:r>
          </w:p>
        </w:tc>
      </w:tr>
      <w:tr w:rsidR="007067EA" w14:paraId="0663D269" w14:textId="77777777">
        <w:trPr>
          <w:cantSplit/>
          <w:jc w:val="center"/>
        </w:trPr>
        <w:tc>
          <w:tcPr>
            <w:tcW w:w="1701" w:type="dxa"/>
          </w:tcPr>
          <w:p w14:paraId="437B2AAD" w14:textId="77777777" w:rsidR="007067EA" w:rsidRDefault="00355612">
            <w:pPr>
              <w:spacing w:before="20" w:after="20" w:line="240" w:lineRule="auto"/>
              <w:jc w:val="center"/>
            </w:pPr>
            <w:r>
              <w:t>均线</w:t>
            </w:r>
            <w:r>
              <w:t>10/20</w:t>
            </w:r>
          </w:p>
        </w:tc>
        <w:tc>
          <w:tcPr>
            <w:tcW w:w="1474" w:type="dxa"/>
          </w:tcPr>
          <w:p w14:paraId="67210D08" w14:textId="77777777" w:rsidR="007067EA" w:rsidRDefault="00355612">
            <w:pPr>
              <w:spacing w:before="20" w:after="20" w:line="240" w:lineRule="auto"/>
              <w:jc w:val="center"/>
            </w:pPr>
            <w:r>
              <w:t>-0.75</w:t>
            </w:r>
          </w:p>
        </w:tc>
        <w:tc>
          <w:tcPr>
            <w:tcW w:w="1474" w:type="dxa"/>
          </w:tcPr>
          <w:p w14:paraId="79FDD21B" w14:textId="77777777" w:rsidR="007067EA" w:rsidRDefault="00355612">
            <w:pPr>
              <w:spacing w:before="20" w:after="20" w:line="240" w:lineRule="auto"/>
              <w:jc w:val="center"/>
            </w:pPr>
            <w:r>
              <w:t>-0.85</w:t>
            </w:r>
          </w:p>
        </w:tc>
        <w:tc>
          <w:tcPr>
            <w:tcW w:w="1474" w:type="dxa"/>
          </w:tcPr>
          <w:p w14:paraId="19724CB9" w14:textId="77777777" w:rsidR="007067EA" w:rsidRDefault="00355612">
            <w:pPr>
              <w:spacing w:before="20" w:after="20" w:line="240" w:lineRule="auto"/>
              <w:jc w:val="center"/>
            </w:pPr>
            <w:r>
              <w:t>5.35</w:t>
            </w:r>
          </w:p>
        </w:tc>
        <w:tc>
          <w:tcPr>
            <w:tcW w:w="1474" w:type="dxa"/>
          </w:tcPr>
          <w:p w14:paraId="50F612DF" w14:textId="77777777" w:rsidR="007067EA" w:rsidRDefault="00355612">
            <w:pPr>
              <w:spacing w:before="20" w:after="20" w:line="240" w:lineRule="auto"/>
              <w:jc w:val="center"/>
            </w:pPr>
            <w:r>
              <w:t>-1.45</w:t>
            </w:r>
          </w:p>
        </w:tc>
        <w:tc>
          <w:tcPr>
            <w:tcW w:w="1474" w:type="dxa"/>
          </w:tcPr>
          <w:p w14:paraId="0B3EE1A9" w14:textId="77777777" w:rsidR="007067EA" w:rsidRDefault="00355612">
            <w:pPr>
              <w:spacing w:before="20" w:after="20" w:line="240" w:lineRule="auto"/>
              <w:jc w:val="center"/>
            </w:pPr>
            <w:r>
              <w:t>-2.29</w:t>
            </w:r>
          </w:p>
        </w:tc>
      </w:tr>
      <w:tr w:rsidR="007067EA" w14:paraId="31F21AC8" w14:textId="77777777">
        <w:trPr>
          <w:cantSplit/>
          <w:jc w:val="center"/>
        </w:trPr>
        <w:tc>
          <w:tcPr>
            <w:tcW w:w="1701" w:type="dxa"/>
          </w:tcPr>
          <w:p w14:paraId="3E8BBA98" w14:textId="77777777" w:rsidR="007067EA" w:rsidRDefault="00355612">
            <w:pPr>
              <w:spacing w:before="20" w:after="20" w:line="240" w:lineRule="auto"/>
              <w:jc w:val="center"/>
            </w:pPr>
            <w:r>
              <w:t>均线</w:t>
            </w:r>
            <w:r>
              <w:t>10/30</w:t>
            </w:r>
          </w:p>
        </w:tc>
        <w:tc>
          <w:tcPr>
            <w:tcW w:w="1474" w:type="dxa"/>
          </w:tcPr>
          <w:p w14:paraId="118238C1" w14:textId="77777777" w:rsidR="007067EA" w:rsidRDefault="00355612">
            <w:pPr>
              <w:spacing w:before="20" w:after="20" w:line="240" w:lineRule="auto"/>
              <w:jc w:val="center"/>
            </w:pPr>
            <w:r>
              <w:t>-0.71</w:t>
            </w:r>
          </w:p>
        </w:tc>
        <w:tc>
          <w:tcPr>
            <w:tcW w:w="1474" w:type="dxa"/>
          </w:tcPr>
          <w:p w14:paraId="4BC80E4B" w14:textId="77777777" w:rsidR="007067EA" w:rsidRDefault="00355612">
            <w:pPr>
              <w:spacing w:before="20" w:after="20" w:line="240" w:lineRule="auto"/>
              <w:jc w:val="center"/>
            </w:pPr>
            <w:r>
              <w:t>-0.83</w:t>
            </w:r>
          </w:p>
        </w:tc>
        <w:tc>
          <w:tcPr>
            <w:tcW w:w="1474" w:type="dxa"/>
          </w:tcPr>
          <w:p w14:paraId="54D92657" w14:textId="77777777" w:rsidR="007067EA" w:rsidRDefault="00355612">
            <w:pPr>
              <w:spacing w:before="20" w:after="20" w:line="240" w:lineRule="auto"/>
              <w:jc w:val="center"/>
            </w:pPr>
            <w:r>
              <w:t>2.21</w:t>
            </w:r>
          </w:p>
        </w:tc>
        <w:tc>
          <w:tcPr>
            <w:tcW w:w="1474" w:type="dxa"/>
          </w:tcPr>
          <w:p w14:paraId="29A0C24E" w14:textId="77777777" w:rsidR="007067EA" w:rsidRDefault="00355612">
            <w:pPr>
              <w:spacing w:before="20" w:after="20" w:line="240" w:lineRule="auto"/>
              <w:jc w:val="center"/>
            </w:pPr>
            <w:r>
              <w:t>-1.90</w:t>
            </w:r>
          </w:p>
        </w:tc>
        <w:tc>
          <w:tcPr>
            <w:tcW w:w="1474" w:type="dxa"/>
          </w:tcPr>
          <w:p w14:paraId="174AF6FE" w14:textId="77777777" w:rsidR="007067EA" w:rsidRDefault="00355612">
            <w:pPr>
              <w:spacing w:before="20" w:after="20" w:line="240" w:lineRule="auto"/>
              <w:jc w:val="center"/>
            </w:pPr>
            <w:r>
              <w:t>-1.85</w:t>
            </w:r>
          </w:p>
        </w:tc>
      </w:tr>
      <w:tr w:rsidR="007067EA" w14:paraId="06857750" w14:textId="77777777">
        <w:trPr>
          <w:cantSplit/>
          <w:jc w:val="center"/>
        </w:trPr>
        <w:tc>
          <w:tcPr>
            <w:tcW w:w="1701" w:type="dxa"/>
          </w:tcPr>
          <w:p w14:paraId="2FFA4073" w14:textId="77777777" w:rsidR="007067EA" w:rsidRDefault="00355612">
            <w:pPr>
              <w:spacing w:before="20" w:after="20" w:line="240" w:lineRule="auto"/>
              <w:jc w:val="center"/>
            </w:pPr>
            <w:r>
              <w:t>长江电力</w:t>
            </w:r>
          </w:p>
        </w:tc>
        <w:tc>
          <w:tcPr>
            <w:tcW w:w="1474" w:type="dxa"/>
          </w:tcPr>
          <w:p w14:paraId="2E8754CB" w14:textId="77777777" w:rsidR="007067EA" w:rsidRDefault="00355612">
            <w:pPr>
              <w:spacing w:before="20" w:after="20" w:line="240" w:lineRule="auto"/>
              <w:jc w:val="center"/>
            </w:pPr>
            <w:r>
              <w:t>-0.89</w:t>
            </w:r>
          </w:p>
        </w:tc>
        <w:tc>
          <w:tcPr>
            <w:tcW w:w="1474" w:type="dxa"/>
          </w:tcPr>
          <w:p w14:paraId="18CCC17F" w14:textId="77777777" w:rsidR="007067EA" w:rsidRDefault="00355612">
            <w:pPr>
              <w:spacing w:before="20" w:after="20" w:line="240" w:lineRule="auto"/>
              <w:jc w:val="center"/>
            </w:pPr>
            <w:r>
              <w:t>-1.00</w:t>
            </w:r>
          </w:p>
        </w:tc>
        <w:tc>
          <w:tcPr>
            <w:tcW w:w="1474" w:type="dxa"/>
          </w:tcPr>
          <w:p w14:paraId="0227DF23" w14:textId="77777777" w:rsidR="007067EA" w:rsidRDefault="00355612">
            <w:pPr>
              <w:spacing w:before="20" w:after="20" w:line="240" w:lineRule="auto"/>
              <w:jc w:val="center"/>
            </w:pPr>
            <w:r>
              <w:t>5.21</w:t>
            </w:r>
          </w:p>
        </w:tc>
        <w:tc>
          <w:tcPr>
            <w:tcW w:w="1474" w:type="dxa"/>
          </w:tcPr>
          <w:p w14:paraId="4EA7E574" w14:textId="77777777" w:rsidR="007067EA" w:rsidRDefault="00355612">
            <w:pPr>
              <w:spacing w:before="20" w:after="20" w:line="240" w:lineRule="auto"/>
              <w:jc w:val="center"/>
            </w:pPr>
            <w:r>
              <w:t>-1.78</w:t>
            </w:r>
          </w:p>
        </w:tc>
        <w:tc>
          <w:tcPr>
            <w:tcW w:w="1474" w:type="dxa"/>
          </w:tcPr>
          <w:p w14:paraId="1A1A85A3" w14:textId="77777777" w:rsidR="007067EA" w:rsidRDefault="00355612">
            <w:pPr>
              <w:spacing w:before="20" w:after="20" w:line="240" w:lineRule="auto"/>
              <w:jc w:val="center"/>
            </w:pPr>
            <w:r>
              <w:t>-1.80</w:t>
            </w:r>
          </w:p>
        </w:tc>
      </w:tr>
      <w:tr w:rsidR="007067EA" w14:paraId="400FC929" w14:textId="77777777">
        <w:trPr>
          <w:cantSplit/>
          <w:jc w:val="center"/>
        </w:trPr>
        <w:tc>
          <w:tcPr>
            <w:tcW w:w="1701" w:type="dxa"/>
          </w:tcPr>
          <w:p w14:paraId="493EFB46" w14:textId="77777777" w:rsidR="007067EA" w:rsidRDefault="00355612">
            <w:pPr>
              <w:spacing w:before="20" w:after="20" w:line="240" w:lineRule="auto"/>
              <w:jc w:val="center"/>
            </w:pPr>
            <w:r>
              <w:t>贵州茅台</w:t>
            </w:r>
          </w:p>
        </w:tc>
        <w:tc>
          <w:tcPr>
            <w:tcW w:w="1474" w:type="dxa"/>
          </w:tcPr>
          <w:p w14:paraId="103A83A6" w14:textId="77777777" w:rsidR="007067EA" w:rsidRDefault="00355612">
            <w:pPr>
              <w:spacing w:before="20" w:after="20" w:line="240" w:lineRule="auto"/>
              <w:jc w:val="center"/>
            </w:pPr>
            <w:r>
              <w:t>-0.90</w:t>
            </w:r>
          </w:p>
        </w:tc>
        <w:tc>
          <w:tcPr>
            <w:tcW w:w="1474" w:type="dxa"/>
          </w:tcPr>
          <w:p w14:paraId="2FD93B44" w14:textId="77777777" w:rsidR="007067EA" w:rsidRDefault="00355612">
            <w:pPr>
              <w:spacing w:before="20" w:after="20" w:line="240" w:lineRule="auto"/>
              <w:jc w:val="center"/>
            </w:pPr>
            <w:r>
              <w:t>-1.02</w:t>
            </w:r>
          </w:p>
        </w:tc>
        <w:tc>
          <w:tcPr>
            <w:tcW w:w="1474" w:type="dxa"/>
          </w:tcPr>
          <w:p w14:paraId="3BC36FE1" w14:textId="77777777" w:rsidR="007067EA" w:rsidRDefault="00355612">
            <w:pPr>
              <w:spacing w:before="20" w:after="20" w:line="240" w:lineRule="auto"/>
              <w:jc w:val="center"/>
            </w:pPr>
            <w:r>
              <w:t>14.30</w:t>
            </w:r>
          </w:p>
        </w:tc>
        <w:tc>
          <w:tcPr>
            <w:tcW w:w="1474" w:type="dxa"/>
          </w:tcPr>
          <w:p w14:paraId="53A7CBDA" w14:textId="77777777" w:rsidR="007067EA" w:rsidRDefault="00355612">
            <w:pPr>
              <w:spacing w:before="20" w:after="20" w:line="240" w:lineRule="auto"/>
              <w:jc w:val="center"/>
            </w:pPr>
            <w:r>
              <w:t>-2.10</w:t>
            </w:r>
          </w:p>
        </w:tc>
        <w:tc>
          <w:tcPr>
            <w:tcW w:w="1474" w:type="dxa"/>
          </w:tcPr>
          <w:p w14:paraId="67443E1D" w14:textId="77777777" w:rsidR="007067EA" w:rsidRDefault="00355612">
            <w:pPr>
              <w:spacing w:before="20" w:after="20" w:line="240" w:lineRule="auto"/>
              <w:jc w:val="center"/>
            </w:pPr>
            <w:r>
              <w:t>-2.02</w:t>
            </w:r>
          </w:p>
        </w:tc>
      </w:tr>
      <w:tr w:rsidR="007067EA" w14:paraId="32D73C0F" w14:textId="77777777">
        <w:trPr>
          <w:cantSplit/>
          <w:jc w:val="center"/>
        </w:trPr>
        <w:tc>
          <w:tcPr>
            <w:tcW w:w="1701" w:type="dxa"/>
          </w:tcPr>
          <w:p w14:paraId="38A4EF94" w14:textId="77777777" w:rsidR="007067EA" w:rsidRDefault="00355612">
            <w:pPr>
              <w:spacing w:before="20" w:after="20" w:line="240" w:lineRule="auto"/>
              <w:jc w:val="center"/>
            </w:pPr>
            <w:r>
              <w:t>中国平安</w:t>
            </w:r>
          </w:p>
        </w:tc>
        <w:tc>
          <w:tcPr>
            <w:tcW w:w="1474" w:type="dxa"/>
          </w:tcPr>
          <w:p w14:paraId="2A87D7C2" w14:textId="77777777" w:rsidR="007067EA" w:rsidRDefault="00355612">
            <w:pPr>
              <w:spacing w:before="20" w:after="20" w:line="240" w:lineRule="auto"/>
              <w:jc w:val="center"/>
            </w:pPr>
            <w:r>
              <w:t>-1.75</w:t>
            </w:r>
          </w:p>
        </w:tc>
        <w:tc>
          <w:tcPr>
            <w:tcW w:w="1474" w:type="dxa"/>
          </w:tcPr>
          <w:p w14:paraId="386D02E5" w14:textId="77777777" w:rsidR="007067EA" w:rsidRDefault="00355612">
            <w:pPr>
              <w:spacing w:before="20" w:after="20" w:line="240" w:lineRule="auto"/>
              <w:jc w:val="center"/>
            </w:pPr>
            <w:r>
              <w:t>-1.98</w:t>
            </w:r>
          </w:p>
        </w:tc>
        <w:tc>
          <w:tcPr>
            <w:tcW w:w="1474" w:type="dxa"/>
          </w:tcPr>
          <w:p w14:paraId="4914E7BA" w14:textId="77777777" w:rsidR="007067EA" w:rsidRDefault="00355612">
            <w:pPr>
              <w:spacing w:before="20" w:after="20" w:line="240" w:lineRule="auto"/>
              <w:jc w:val="center"/>
            </w:pPr>
            <w:r>
              <w:t>13.73</w:t>
            </w:r>
          </w:p>
        </w:tc>
        <w:tc>
          <w:tcPr>
            <w:tcW w:w="1474" w:type="dxa"/>
          </w:tcPr>
          <w:p w14:paraId="420AB0EC" w14:textId="77777777" w:rsidR="007067EA" w:rsidRDefault="00355612">
            <w:pPr>
              <w:spacing w:before="20" w:after="20" w:line="240" w:lineRule="auto"/>
              <w:jc w:val="center"/>
            </w:pPr>
            <w:r>
              <w:t>-1.99</w:t>
            </w:r>
          </w:p>
        </w:tc>
        <w:tc>
          <w:tcPr>
            <w:tcW w:w="1474" w:type="dxa"/>
          </w:tcPr>
          <w:p w14:paraId="2F322C38" w14:textId="77777777" w:rsidR="007067EA" w:rsidRDefault="00355612">
            <w:pPr>
              <w:spacing w:before="20" w:after="20" w:line="240" w:lineRule="auto"/>
              <w:jc w:val="center"/>
            </w:pPr>
            <w:r>
              <w:t>-3.61</w:t>
            </w:r>
          </w:p>
        </w:tc>
      </w:tr>
    </w:tbl>
    <w:p w14:paraId="0627CB84" w14:textId="77777777" w:rsidR="007067EA" w:rsidRDefault="007067EA">
      <w:pPr>
        <w:spacing w:after="40"/>
      </w:pPr>
    </w:p>
    <w:p w14:paraId="3FB7460B" w14:textId="77777777" w:rsidR="007067EA" w:rsidRDefault="00355612">
      <w:pPr>
        <w:ind w:firstLine="420"/>
        <w:jc w:val="both"/>
      </w:pPr>
      <w:r>
        <w:t>由表</w:t>
      </w:r>
      <w:r>
        <w:t>1</w:t>
      </w:r>
      <w:r>
        <w:t>可见，较长的均线组合（如</w:t>
      </w:r>
      <w:r>
        <w:t>10/30</w:t>
      </w:r>
      <w:r>
        <w:t>）在降低交易频率的同时回撤更小；在仓位管理上，固定金额模式以最小的回撤（</w:t>
      </w:r>
      <w:r>
        <w:t>-0.72%</w:t>
      </w:r>
      <w:r>
        <w:t>）表现最稳健。值得强调的是，三标的相对买入持有均取得正超额收益，其中贵州茅台与中国平安的超额收益分别达</w:t>
      </w:r>
      <w:r>
        <w:t>14.30%</w:t>
      </w:r>
      <w:r>
        <w:t>与</w:t>
      </w:r>
      <w:r>
        <w:t>13.73%</w:t>
      </w:r>
      <w:r>
        <w:t>，印证了择时在该区间相对</w:t>
      </w:r>
      <w:r>
        <w:t>“</w:t>
      </w:r>
      <w:r>
        <w:t>躺平</w:t>
      </w:r>
      <w:r>
        <w:t>”</w:t>
      </w:r>
      <w:r>
        <w:t>的优势。这一结论也提示我们：策略评价不能只看绝对收益，更要看相对基准的增量价值（附录建议一）。</w:t>
      </w:r>
    </w:p>
    <w:p w14:paraId="7506EB96" w14:textId="77777777" w:rsidR="007067EA" w:rsidRDefault="00355612">
      <w:pPr>
        <w:jc w:val="center"/>
      </w:pPr>
      <w:r>
        <w:rPr>
          <w:noProof/>
        </w:rPr>
        <w:drawing>
          <wp:inline distT="0" distB="0" distL="0" distR="0" wp14:anchorId="18794E89" wp14:editId="00C68DE1">
            <wp:extent cx="5400000" cy="3485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_periods.png"/>
                    <pic:cNvPicPr/>
                  </pic:nvPicPr>
                  <pic:blipFill>
                    <a:blip r:embed="rId9"/>
                    <a:stretch>
                      <a:fillRect/>
                    </a:stretch>
                  </pic:blipFill>
                  <pic:spPr>
                    <a:xfrm>
                      <a:off x="0" y="0"/>
                      <a:ext cx="5400000" cy="3485665"/>
                    </a:xfrm>
                    <a:prstGeom prst="rect">
                      <a:avLst/>
                    </a:prstGeom>
                  </pic:spPr>
                </pic:pic>
              </a:graphicData>
            </a:graphic>
          </wp:inline>
        </w:drawing>
      </w:r>
    </w:p>
    <w:p w14:paraId="2588C04C" w14:textId="77777777" w:rsidR="007067EA" w:rsidRDefault="00355612">
      <w:pPr>
        <w:spacing w:before="40" w:after="120"/>
        <w:jc w:val="center"/>
      </w:pPr>
      <w:r>
        <w:t>图</w:t>
      </w:r>
      <w:r>
        <w:t xml:space="preserve">2  </w:t>
      </w:r>
      <w:r>
        <w:t>均线交叉策略不同参数组合的超额收益</w:t>
      </w:r>
    </w:p>
    <w:p w14:paraId="0A45DF2E" w14:textId="77777777" w:rsidR="007067EA" w:rsidRDefault="00355612">
      <w:pPr>
        <w:spacing w:before="80" w:after="80"/>
        <w:outlineLvl w:val="1"/>
      </w:pPr>
      <w:bookmarkStart w:id="8" w:name="_Toc235744210"/>
      <w:r>
        <w:rPr>
          <w:rFonts w:ascii="黑体" w:eastAsia="黑体" w:hAnsi="黑体"/>
          <w:b/>
          <w:sz w:val="28"/>
        </w:rPr>
        <w:lastRenderedPageBreak/>
        <w:t xml:space="preserve">2.2  </w:t>
      </w:r>
      <w:r>
        <w:rPr>
          <w:rFonts w:ascii="黑体" w:eastAsia="黑体" w:hAnsi="黑体"/>
          <w:b/>
          <w:sz w:val="28"/>
        </w:rPr>
        <w:t>海龟交易策略（任务四）</w:t>
      </w:r>
      <w:bookmarkEnd w:id="8"/>
    </w:p>
    <w:p w14:paraId="358FAAB3" w14:textId="77777777" w:rsidR="007067EA" w:rsidRDefault="00355612">
      <w:pPr>
        <w:ind w:firstLine="420"/>
        <w:jc w:val="both"/>
      </w:pPr>
      <w:r>
        <w:t>海龟策略是典型的突破型趋势系统，以唐奇安通道（一定周期内的最高价</w:t>
      </w:r>
      <w:r>
        <w:t>/</w:t>
      </w:r>
      <w:r>
        <w:t>最低价通道）触发入场，以真实波幅度量风险并管理仓位与止损。任务四以三只标的、八组入场</w:t>
      </w:r>
      <w:r>
        <w:t>/</w:t>
      </w:r>
      <w:r>
        <w:t>出场周期共</w:t>
      </w:r>
      <w:r>
        <w:t>24</w:t>
      </w:r>
      <w:r>
        <w:t>种参数组合进行了全网格回测，并统一采用</w:t>
      </w:r>
      <w:r>
        <w:t>“</w:t>
      </w:r>
      <w:r>
        <w:t>红涨绿跌</w:t>
      </w:r>
      <w:r>
        <w:t>”</w:t>
      </w:r>
      <w:r>
        <w:t>的本土化配色。结果显示：该策略对高波动标的更友好</w:t>
      </w:r>
      <w:r>
        <w:t>——</w:t>
      </w:r>
      <w:r>
        <w:t>在中国平安上不仅取得</w:t>
      </w:r>
      <w:r>
        <w:t>2.43%</w:t>
      </w:r>
      <w:r>
        <w:t>的正收益，更获得</w:t>
      </w:r>
      <w:r>
        <w:t>18.40%</w:t>
      </w:r>
      <w:r>
        <w:t>的超额收益，是全部组合中唯一夏普比率为正的；而在长江电力这类低波动标的上，多数参数组合跑输买入持有。</w:t>
      </w:r>
    </w:p>
    <w:p w14:paraId="63945756" w14:textId="77777777" w:rsidR="007067EA" w:rsidRDefault="00355612">
      <w:pPr>
        <w:spacing w:before="120" w:after="80"/>
        <w:jc w:val="center"/>
      </w:pPr>
      <w:r>
        <w:rPr>
          <w:b/>
        </w:rPr>
        <w:t>表</w:t>
      </w:r>
      <w:r>
        <w:rPr>
          <w:b/>
        </w:rPr>
        <w:t xml:space="preserve">2  </w:t>
      </w:r>
      <w:r>
        <w:rPr>
          <w:b/>
        </w:rPr>
        <w:t>海龟策略代表结果（基准参数</w:t>
      </w:r>
      <w:r>
        <w:rPr>
          <w:b/>
        </w:rPr>
        <w:t>20/10</w:t>
      </w:r>
      <w:r>
        <w:rPr>
          <w:b/>
        </w:rPr>
        <w:t>）</w:t>
      </w:r>
    </w:p>
    <w:tbl>
      <w:tblPr>
        <w:tblStyle w:val="aff1"/>
        <w:tblW w:w="0" w:type="auto"/>
        <w:jc w:val="center"/>
        <w:tblLayout w:type="fixed"/>
        <w:tblLook w:val="04A0" w:firstRow="1" w:lastRow="0" w:firstColumn="1" w:lastColumn="0" w:noHBand="0" w:noVBand="1"/>
      </w:tblPr>
      <w:tblGrid>
        <w:gridCol w:w="1701"/>
        <w:gridCol w:w="1474"/>
        <w:gridCol w:w="1474"/>
        <w:gridCol w:w="1474"/>
        <w:gridCol w:w="1474"/>
        <w:gridCol w:w="1474"/>
      </w:tblGrid>
      <w:tr w:rsidR="007067EA" w14:paraId="2D6017A8" w14:textId="77777777">
        <w:trPr>
          <w:cantSplit/>
          <w:jc w:val="center"/>
        </w:trPr>
        <w:tc>
          <w:tcPr>
            <w:tcW w:w="1701" w:type="dxa"/>
          </w:tcPr>
          <w:p w14:paraId="4CE774EE" w14:textId="77777777" w:rsidR="007067EA" w:rsidRDefault="00355612">
            <w:pPr>
              <w:spacing w:before="40" w:after="40" w:line="240" w:lineRule="auto"/>
              <w:jc w:val="center"/>
            </w:pPr>
            <w:r>
              <w:rPr>
                <w:rFonts w:ascii="黑体" w:eastAsia="黑体" w:hAnsi="黑体"/>
                <w:b/>
              </w:rPr>
              <w:t>标的</w:t>
            </w:r>
          </w:p>
        </w:tc>
        <w:tc>
          <w:tcPr>
            <w:tcW w:w="1474" w:type="dxa"/>
          </w:tcPr>
          <w:p w14:paraId="667D9D82" w14:textId="77777777" w:rsidR="007067EA" w:rsidRDefault="00355612">
            <w:pPr>
              <w:spacing w:before="40" w:after="40" w:line="240" w:lineRule="auto"/>
              <w:jc w:val="center"/>
            </w:pPr>
            <w:r>
              <w:rPr>
                <w:rFonts w:ascii="黑体" w:eastAsia="黑体" w:hAnsi="黑体"/>
                <w:b/>
              </w:rPr>
              <w:t>总收益率</w:t>
            </w:r>
            <w:r>
              <w:rPr>
                <w:rFonts w:ascii="黑体" w:eastAsia="黑体" w:hAnsi="黑体"/>
                <w:b/>
              </w:rPr>
              <w:t>(%)</w:t>
            </w:r>
          </w:p>
        </w:tc>
        <w:tc>
          <w:tcPr>
            <w:tcW w:w="1474" w:type="dxa"/>
          </w:tcPr>
          <w:p w14:paraId="7C107644" w14:textId="77777777" w:rsidR="007067EA" w:rsidRDefault="00355612">
            <w:pPr>
              <w:spacing w:before="40" w:after="40" w:line="240" w:lineRule="auto"/>
              <w:jc w:val="center"/>
            </w:pPr>
            <w:r>
              <w:rPr>
                <w:rFonts w:ascii="黑体" w:eastAsia="黑体" w:hAnsi="黑体"/>
                <w:b/>
              </w:rPr>
              <w:t>年化收益率</w:t>
            </w:r>
            <w:r>
              <w:rPr>
                <w:rFonts w:ascii="黑体" w:eastAsia="黑体" w:hAnsi="黑体"/>
                <w:b/>
              </w:rPr>
              <w:t>(%</w:t>
            </w:r>
            <w:r>
              <w:rPr>
                <w:rFonts w:ascii="黑体" w:eastAsia="黑体" w:hAnsi="黑体"/>
                <w:b/>
              </w:rPr>
              <w:t>)</w:t>
            </w:r>
          </w:p>
        </w:tc>
        <w:tc>
          <w:tcPr>
            <w:tcW w:w="1474" w:type="dxa"/>
          </w:tcPr>
          <w:p w14:paraId="1E95FA14" w14:textId="77777777" w:rsidR="007067EA" w:rsidRDefault="00355612">
            <w:pPr>
              <w:spacing w:before="40" w:after="40" w:line="240" w:lineRule="auto"/>
              <w:jc w:val="center"/>
            </w:pPr>
            <w:r>
              <w:rPr>
                <w:rFonts w:ascii="黑体" w:eastAsia="黑体" w:hAnsi="黑体"/>
                <w:b/>
              </w:rPr>
              <w:t>超额收益</w:t>
            </w:r>
            <w:r>
              <w:rPr>
                <w:rFonts w:ascii="黑体" w:eastAsia="黑体" w:hAnsi="黑体"/>
                <w:b/>
              </w:rPr>
              <w:t>(%)</w:t>
            </w:r>
          </w:p>
        </w:tc>
        <w:tc>
          <w:tcPr>
            <w:tcW w:w="1474" w:type="dxa"/>
          </w:tcPr>
          <w:p w14:paraId="7AA78FFA" w14:textId="77777777" w:rsidR="007067EA" w:rsidRDefault="00355612">
            <w:pPr>
              <w:spacing w:before="40" w:after="40" w:line="240" w:lineRule="auto"/>
              <w:jc w:val="center"/>
            </w:pPr>
            <w:r>
              <w:rPr>
                <w:rFonts w:ascii="黑体" w:eastAsia="黑体" w:hAnsi="黑体"/>
                <w:b/>
              </w:rPr>
              <w:t>最大回撤</w:t>
            </w:r>
            <w:r>
              <w:rPr>
                <w:rFonts w:ascii="黑体" w:eastAsia="黑体" w:hAnsi="黑体"/>
                <w:b/>
              </w:rPr>
              <w:t>(%)</w:t>
            </w:r>
          </w:p>
        </w:tc>
        <w:tc>
          <w:tcPr>
            <w:tcW w:w="1474" w:type="dxa"/>
          </w:tcPr>
          <w:p w14:paraId="094B6B4D" w14:textId="77777777" w:rsidR="007067EA" w:rsidRDefault="00355612">
            <w:pPr>
              <w:spacing w:before="40" w:after="40" w:line="240" w:lineRule="auto"/>
              <w:jc w:val="center"/>
            </w:pPr>
            <w:r>
              <w:rPr>
                <w:rFonts w:ascii="黑体" w:eastAsia="黑体" w:hAnsi="黑体"/>
                <w:b/>
              </w:rPr>
              <w:t>夏普比率</w:t>
            </w:r>
          </w:p>
        </w:tc>
      </w:tr>
      <w:tr w:rsidR="007067EA" w14:paraId="1C2EC4C3" w14:textId="77777777">
        <w:trPr>
          <w:cantSplit/>
          <w:jc w:val="center"/>
        </w:trPr>
        <w:tc>
          <w:tcPr>
            <w:tcW w:w="1701" w:type="dxa"/>
          </w:tcPr>
          <w:p w14:paraId="5A7841BA" w14:textId="77777777" w:rsidR="007067EA" w:rsidRDefault="00355612">
            <w:pPr>
              <w:spacing w:before="20" w:after="20" w:line="240" w:lineRule="auto"/>
              <w:jc w:val="center"/>
            </w:pPr>
            <w:r>
              <w:t>长江电力</w:t>
            </w:r>
          </w:p>
        </w:tc>
        <w:tc>
          <w:tcPr>
            <w:tcW w:w="1474" w:type="dxa"/>
          </w:tcPr>
          <w:p w14:paraId="527E512A" w14:textId="77777777" w:rsidR="007067EA" w:rsidRDefault="00355612">
            <w:pPr>
              <w:spacing w:before="20" w:after="20" w:line="240" w:lineRule="auto"/>
              <w:jc w:val="center"/>
            </w:pPr>
            <w:r>
              <w:t>-6.20</w:t>
            </w:r>
          </w:p>
        </w:tc>
        <w:tc>
          <w:tcPr>
            <w:tcW w:w="1474" w:type="dxa"/>
          </w:tcPr>
          <w:p w14:paraId="52FC94DE" w14:textId="77777777" w:rsidR="007067EA" w:rsidRDefault="00355612">
            <w:pPr>
              <w:spacing w:before="20" w:after="20" w:line="240" w:lineRule="auto"/>
              <w:jc w:val="center"/>
            </w:pPr>
            <w:r>
              <w:t>-6.95</w:t>
            </w:r>
          </w:p>
        </w:tc>
        <w:tc>
          <w:tcPr>
            <w:tcW w:w="1474" w:type="dxa"/>
          </w:tcPr>
          <w:p w14:paraId="3EE7F5F8" w14:textId="77777777" w:rsidR="007067EA" w:rsidRDefault="00355612">
            <w:pPr>
              <w:spacing w:before="20" w:after="20" w:line="240" w:lineRule="auto"/>
              <w:jc w:val="center"/>
            </w:pPr>
            <w:r>
              <w:t>-0.33</w:t>
            </w:r>
          </w:p>
        </w:tc>
        <w:tc>
          <w:tcPr>
            <w:tcW w:w="1474" w:type="dxa"/>
          </w:tcPr>
          <w:p w14:paraId="63D40575" w14:textId="77777777" w:rsidR="007067EA" w:rsidRDefault="00355612">
            <w:pPr>
              <w:spacing w:before="20" w:after="20" w:line="240" w:lineRule="auto"/>
              <w:jc w:val="center"/>
            </w:pPr>
            <w:r>
              <w:t>-7.41</w:t>
            </w:r>
          </w:p>
        </w:tc>
        <w:tc>
          <w:tcPr>
            <w:tcW w:w="1474" w:type="dxa"/>
          </w:tcPr>
          <w:p w14:paraId="57E23597" w14:textId="77777777" w:rsidR="007067EA" w:rsidRDefault="00355612">
            <w:pPr>
              <w:spacing w:before="20" w:after="20" w:line="240" w:lineRule="auto"/>
              <w:jc w:val="center"/>
            </w:pPr>
            <w:r>
              <w:t>-1.72</w:t>
            </w:r>
          </w:p>
        </w:tc>
      </w:tr>
      <w:tr w:rsidR="007067EA" w14:paraId="6CD378D0" w14:textId="77777777">
        <w:trPr>
          <w:cantSplit/>
          <w:jc w:val="center"/>
        </w:trPr>
        <w:tc>
          <w:tcPr>
            <w:tcW w:w="1701" w:type="dxa"/>
          </w:tcPr>
          <w:p w14:paraId="493F3DB0" w14:textId="77777777" w:rsidR="007067EA" w:rsidRDefault="00355612">
            <w:pPr>
              <w:spacing w:before="20" w:after="20" w:line="240" w:lineRule="auto"/>
              <w:jc w:val="center"/>
            </w:pPr>
            <w:r>
              <w:t>贵州茅台</w:t>
            </w:r>
          </w:p>
        </w:tc>
        <w:tc>
          <w:tcPr>
            <w:tcW w:w="1474" w:type="dxa"/>
          </w:tcPr>
          <w:p w14:paraId="1A2E6268" w14:textId="77777777" w:rsidR="007067EA" w:rsidRDefault="00355612">
            <w:pPr>
              <w:spacing w:before="20" w:after="20" w:line="240" w:lineRule="auto"/>
              <w:jc w:val="center"/>
            </w:pPr>
            <w:r>
              <w:t>-5.47</w:t>
            </w:r>
          </w:p>
        </w:tc>
        <w:tc>
          <w:tcPr>
            <w:tcW w:w="1474" w:type="dxa"/>
          </w:tcPr>
          <w:p w14:paraId="0081DE9E" w14:textId="77777777" w:rsidR="007067EA" w:rsidRDefault="00355612">
            <w:pPr>
              <w:spacing w:before="20" w:after="20" w:line="240" w:lineRule="auto"/>
              <w:jc w:val="center"/>
            </w:pPr>
            <w:r>
              <w:t>-6.16</w:t>
            </w:r>
          </w:p>
        </w:tc>
        <w:tc>
          <w:tcPr>
            <w:tcW w:w="1474" w:type="dxa"/>
          </w:tcPr>
          <w:p w14:paraId="1145F4AB" w14:textId="77777777" w:rsidR="007067EA" w:rsidRDefault="00355612">
            <w:pPr>
              <w:spacing w:before="20" w:after="20" w:line="240" w:lineRule="auto"/>
              <w:jc w:val="center"/>
            </w:pPr>
            <w:r>
              <w:t>9.81</w:t>
            </w:r>
          </w:p>
        </w:tc>
        <w:tc>
          <w:tcPr>
            <w:tcW w:w="1474" w:type="dxa"/>
          </w:tcPr>
          <w:p w14:paraId="43C81079" w14:textId="77777777" w:rsidR="007067EA" w:rsidRDefault="00355612">
            <w:pPr>
              <w:spacing w:before="20" w:after="20" w:line="240" w:lineRule="auto"/>
              <w:jc w:val="center"/>
            </w:pPr>
            <w:r>
              <w:t>-6.94</w:t>
            </w:r>
          </w:p>
        </w:tc>
        <w:tc>
          <w:tcPr>
            <w:tcW w:w="1474" w:type="dxa"/>
          </w:tcPr>
          <w:p w14:paraId="6D2CDAD1" w14:textId="77777777" w:rsidR="007067EA" w:rsidRDefault="00355612">
            <w:pPr>
              <w:spacing w:before="20" w:after="20" w:line="240" w:lineRule="auto"/>
              <w:jc w:val="center"/>
            </w:pPr>
            <w:r>
              <w:t>-1.42</w:t>
            </w:r>
          </w:p>
        </w:tc>
      </w:tr>
      <w:tr w:rsidR="007067EA" w14:paraId="68B776B4" w14:textId="77777777">
        <w:trPr>
          <w:cantSplit/>
          <w:jc w:val="center"/>
        </w:trPr>
        <w:tc>
          <w:tcPr>
            <w:tcW w:w="1701" w:type="dxa"/>
          </w:tcPr>
          <w:p w14:paraId="07CEAB31" w14:textId="77777777" w:rsidR="007067EA" w:rsidRDefault="00355612">
            <w:pPr>
              <w:spacing w:before="20" w:after="20" w:line="240" w:lineRule="auto"/>
              <w:jc w:val="center"/>
            </w:pPr>
            <w:r>
              <w:t>中国平安</w:t>
            </w:r>
          </w:p>
        </w:tc>
        <w:tc>
          <w:tcPr>
            <w:tcW w:w="1474" w:type="dxa"/>
          </w:tcPr>
          <w:p w14:paraId="1E8A325F" w14:textId="77777777" w:rsidR="007067EA" w:rsidRDefault="00355612">
            <w:pPr>
              <w:spacing w:before="20" w:after="20" w:line="240" w:lineRule="auto"/>
              <w:jc w:val="center"/>
            </w:pPr>
            <w:r>
              <w:t>2.43</w:t>
            </w:r>
          </w:p>
        </w:tc>
        <w:tc>
          <w:tcPr>
            <w:tcW w:w="1474" w:type="dxa"/>
          </w:tcPr>
          <w:p w14:paraId="36BB2980" w14:textId="77777777" w:rsidR="007067EA" w:rsidRDefault="00355612">
            <w:pPr>
              <w:spacing w:before="20" w:after="20" w:line="240" w:lineRule="auto"/>
              <w:jc w:val="center"/>
            </w:pPr>
            <w:r>
              <w:t>2.75</w:t>
            </w:r>
          </w:p>
        </w:tc>
        <w:tc>
          <w:tcPr>
            <w:tcW w:w="1474" w:type="dxa"/>
          </w:tcPr>
          <w:p w14:paraId="4533D5D0" w14:textId="77777777" w:rsidR="007067EA" w:rsidRDefault="00355612">
            <w:pPr>
              <w:spacing w:before="20" w:after="20" w:line="240" w:lineRule="auto"/>
              <w:jc w:val="center"/>
            </w:pPr>
            <w:r>
              <w:t>18.40</w:t>
            </w:r>
          </w:p>
        </w:tc>
        <w:tc>
          <w:tcPr>
            <w:tcW w:w="1474" w:type="dxa"/>
          </w:tcPr>
          <w:p w14:paraId="709E5CE2" w14:textId="77777777" w:rsidR="007067EA" w:rsidRDefault="00355612">
            <w:pPr>
              <w:spacing w:before="20" w:after="20" w:line="240" w:lineRule="auto"/>
              <w:jc w:val="center"/>
            </w:pPr>
            <w:r>
              <w:t>-9.23</w:t>
            </w:r>
          </w:p>
        </w:tc>
        <w:tc>
          <w:tcPr>
            <w:tcW w:w="1474" w:type="dxa"/>
          </w:tcPr>
          <w:p w14:paraId="065E3F85" w14:textId="77777777" w:rsidR="007067EA" w:rsidRDefault="00355612">
            <w:pPr>
              <w:spacing w:before="20" w:after="20" w:line="240" w:lineRule="auto"/>
              <w:jc w:val="center"/>
            </w:pPr>
            <w:r>
              <w:t>0.12</w:t>
            </w:r>
          </w:p>
        </w:tc>
      </w:tr>
    </w:tbl>
    <w:p w14:paraId="6151C9BB" w14:textId="77777777" w:rsidR="007067EA" w:rsidRDefault="007067EA">
      <w:pPr>
        <w:spacing w:after="40"/>
      </w:pPr>
    </w:p>
    <w:p w14:paraId="19B4EBD2" w14:textId="77777777" w:rsidR="007067EA" w:rsidRDefault="00355612">
      <w:pPr>
        <w:ind w:firstLine="420"/>
        <w:jc w:val="both"/>
      </w:pPr>
      <w:r>
        <w:t>图</w:t>
      </w:r>
      <w:r>
        <w:t>3</w:t>
      </w:r>
      <w:r>
        <w:t>与图</w:t>
      </w:r>
      <w:r>
        <w:t>4</w:t>
      </w:r>
      <w:r>
        <w:t>进一步揭示了策略表现的结构性差异：超额收益高度依赖标的选择与参数，在中国平安上几乎所有参数组合都显著跑赢基准，而在长江电力上多为小幅跑输。这一发现直接呼应了多策略配置的必要性（见</w:t>
      </w:r>
      <w:r>
        <w:t>2.6</w:t>
      </w:r>
      <w:r>
        <w:t>节，亦见附录建议六）。</w:t>
      </w:r>
    </w:p>
    <w:p w14:paraId="4CC78572" w14:textId="77777777" w:rsidR="007067EA" w:rsidRDefault="00355612">
      <w:pPr>
        <w:jc w:val="center"/>
      </w:pPr>
      <w:r>
        <w:rPr>
          <w:noProof/>
        </w:rPr>
        <w:drawing>
          <wp:inline distT="0" distB="0" distL="0" distR="0" wp14:anchorId="5C3D9560" wp14:editId="41987D43">
            <wp:extent cx="5400000" cy="344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urtle_stocks.png"/>
                    <pic:cNvPicPr/>
                  </pic:nvPicPr>
                  <pic:blipFill>
                    <a:blip r:embed="rId10"/>
                    <a:stretch>
                      <a:fillRect/>
                    </a:stretch>
                  </pic:blipFill>
                  <pic:spPr>
                    <a:xfrm>
                      <a:off x="0" y="0"/>
                      <a:ext cx="5400000" cy="3444275"/>
                    </a:xfrm>
                    <a:prstGeom prst="rect">
                      <a:avLst/>
                    </a:prstGeom>
                  </pic:spPr>
                </pic:pic>
              </a:graphicData>
            </a:graphic>
          </wp:inline>
        </w:drawing>
      </w:r>
    </w:p>
    <w:p w14:paraId="1D573C0F" w14:textId="77777777" w:rsidR="007067EA" w:rsidRDefault="00355612">
      <w:pPr>
        <w:spacing w:before="40" w:after="120"/>
        <w:jc w:val="center"/>
      </w:pPr>
      <w:r>
        <w:t>图</w:t>
      </w:r>
      <w:r>
        <w:t xml:space="preserve">3  </w:t>
      </w:r>
      <w:r>
        <w:t>海龟策略在三只标的上的超额收益</w:t>
      </w:r>
    </w:p>
    <w:p w14:paraId="36A7D687" w14:textId="77777777" w:rsidR="007067EA" w:rsidRDefault="00355612">
      <w:pPr>
        <w:jc w:val="center"/>
      </w:pPr>
      <w:r>
        <w:rPr>
          <w:noProof/>
        </w:rPr>
        <w:lastRenderedPageBreak/>
        <w:drawing>
          <wp:inline distT="0" distB="0" distL="0" distR="0" wp14:anchorId="120A3C2C" wp14:editId="2DB32CBE">
            <wp:extent cx="5400000" cy="2355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urtle_heatmap.png"/>
                    <pic:cNvPicPr/>
                  </pic:nvPicPr>
                  <pic:blipFill>
                    <a:blip r:embed="rId11"/>
                    <a:stretch>
                      <a:fillRect/>
                    </a:stretch>
                  </pic:blipFill>
                  <pic:spPr>
                    <a:xfrm>
                      <a:off x="0" y="0"/>
                      <a:ext cx="5400000" cy="2355319"/>
                    </a:xfrm>
                    <a:prstGeom prst="rect">
                      <a:avLst/>
                    </a:prstGeom>
                  </pic:spPr>
                </pic:pic>
              </a:graphicData>
            </a:graphic>
          </wp:inline>
        </w:drawing>
      </w:r>
    </w:p>
    <w:p w14:paraId="5FDDD308" w14:textId="77777777" w:rsidR="007067EA" w:rsidRDefault="00355612">
      <w:pPr>
        <w:spacing w:before="40" w:after="120"/>
        <w:jc w:val="center"/>
      </w:pPr>
      <w:r>
        <w:t>图</w:t>
      </w:r>
      <w:r>
        <w:t xml:space="preserve">4  </w:t>
      </w:r>
      <w:r>
        <w:t>海龟策略</w:t>
      </w:r>
      <w:r>
        <w:t>24</w:t>
      </w:r>
      <w:r>
        <w:t>组参数的超额收益（红</w:t>
      </w:r>
      <w:r>
        <w:t>=</w:t>
      </w:r>
      <w:r>
        <w:t>跑赢，绿</w:t>
      </w:r>
      <w:r>
        <w:t>=</w:t>
      </w:r>
      <w:r>
        <w:t>跑输）</w:t>
      </w:r>
    </w:p>
    <w:p w14:paraId="5BF5B983" w14:textId="77777777" w:rsidR="007067EA" w:rsidRDefault="00355612">
      <w:pPr>
        <w:spacing w:before="80" w:after="80"/>
        <w:outlineLvl w:val="1"/>
      </w:pPr>
      <w:bookmarkStart w:id="9" w:name="_Toc235744211"/>
      <w:r>
        <w:rPr>
          <w:rFonts w:ascii="黑体" w:eastAsia="黑体" w:hAnsi="黑体"/>
          <w:b/>
          <w:sz w:val="28"/>
        </w:rPr>
        <w:t xml:space="preserve">2.3  </w:t>
      </w:r>
      <w:r>
        <w:rPr>
          <w:rFonts w:ascii="黑体" w:eastAsia="黑体" w:hAnsi="黑体"/>
          <w:b/>
          <w:sz w:val="28"/>
        </w:rPr>
        <w:t>机器学习选股策略（任务五、任务六）</w:t>
      </w:r>
      <w:bookmarkEnd w:id="9"/>
    </w:p>
    <w:p w14:paraId="7CDACE19" w14:textId="77777777" w:rsidR="007067EA" w:rsidRDefault="00355612">
      <w:pPr>
        <w:ind w:firstLine="420"/>
        <w:jc w:val="both"/>
      </w:pPr>
      <w:r>
        <w:t>任务五首次将机器学习引入量化：用五种分类模型分别在结构化医学数据与长江电力股价数据上做对比。图</w:t>
      </w:r>
      <w:r>
        <w:t>5</w:t>
      </w:r>
      <w:r>
        <w:t>清楚显示，模型在医学数据上的判别能力接近满分，而在股票数据上全部跌至随机基准附近，说明</w:t>
      </w:r>
      <w:r>
        <w:t>“</w:t>
      </w:r>
      <w:r>
        <w:t>用技术指标直接预测次日涨跌</w:t>
      </w:r>
      <w:r>
        <w:t>”</w:t>
      </w:r>
      <w:r>
        <w:t>这一朴素思路面临有效市场假说的强力约束。</w:t>
      </w:r>
    </w:p>
    <w:p w14:paraId="71218A6B" w14:textId="77777777" w:rsidR="007067EA" w:rsidRDefault="00355612">
      <w:pPr>
        <w:spacing w:before="120" w:after="80"/>
        <w:jc w:val="center"/>
      </w:pPr>
      <w:r>
        <w:rPr>
          <w:b/>
        </w:rPr>
        <w:t>表</w:t>
      </w:r>
      <w:r>
        <w:rPr>
          <w:b/>
        </w:rPr>
        <w:t xml:space="preserve">3  </w:t>
      </w:r>
      <w:r>
        <w:rPr>
          <w:b/>
        </w:rPr>
        <w:t>机器学习模型在两类数据集上的表现</w:t>
      </w:r>
    </w:p>
    <w:tbl>
      <w:tblPr>
        <w:tblStyle w:val="aff1"/>
        <w:tblW w:w="0" w:type="auto"/>
        <w:jc w:val="center"/>
        <w:tblLayout w:type="fixed"/>
        <w:tblLook w:val="04A0" w:firstRow="1" w:lastRow="0" w:firstColumn="1" w:lastColumn="0" w:noHBand="0" w:noVBand="1"/>
      </w:tblPr>
      <w:tblGrid>
        <w:gridCol w:w="1814"/>
        <w:gridCol w:w="1587"/>
        <w:gridCol w:w="1361"/>
        <w:gridCol w:w="1134"/>
        <w:gridCol w:w="3175"/>
      </w:tblGrid>
      <w:tr w:rsidR="007067EA" w14:paraId="1CFF732A" w14:textId="77777777">
        <w:trPr>
          <w:cantSplit/>
          <w:jc w:val="center"/>
        </w:trPr>
        <w:tc>
          <w:tcPr>
            <w:tcW w:w="1814" w:type="dxa"/>
          </w:tcPr>
          <w:p w14:paraId="2EC81618" w14:textId="77777777" w:rsidR="007067EA" w:rsidRDefault="00355612">
            <w:pPr>
              <w:spacing w:before="40" w:after="40" w:line="240" w:lineRule="auto"/>
              <w:jc w:val="center"/>
            </w:pPr>
            <w:r>
              <w:rPr>
                <w:rFonts w:ascii="黑体" w:eastAsia="黑体" w:hAnsi="黑体"/>
                <w:b/>
              </w:rPr>
              <w:t>数据集</w:t>
            </w:r>
          </w:p>
        </w:tc>
        <w:tc>
          <w:tcPr>
            <w:tcW w:w="1587" w:type="dxa"/>
          </w:tcPr>
          <w:p w14:paraId="4D046DDC" w14:textId="77777777" w:rsidR="007067EA" w:rsidRDefault="00355612">
            <w:pPr>
              <w:spacing w:before="40" w:after="40" w:line="240" w:lineRule="auto"/>
              <w:jc w:val="center"/>
            </w:pPr>
            <w:r>
              <w:rPr>
                <w:rFonts w:ascii="黑体" w:eastAsia="黑体" w:hAnsi="黑体"/>
                <w:b/>
              </w:rPr>
              <w:t>最优模型</w:t>
            </w:r>
          </w:p>
        </w:tc>
        <w:tc>
          <w:tcPr>
            <w:tcW w:w="1361" w:type="dxa"/>
          </w:tcPr>
          <w:p w14:paraId="3DF77447" w14:textId="77777777" w:rsidR="007067EA" w:rsidRDefault="00355612">
            <w:pPr>
              <w:spacing w:before="40" w:after="40" w:line="240" w:lineRule="auto"/>
              <w:jc w:val="center"/>
            </w:pPr>
            <w:r>
              <w:rPr>
                <w:rFonts w:ascii="黑体" w:eastAsia="黑体" w:hAnsi="黑体"/>
                <w:b/>
              </w:rPr>
              <w:t>最高准确率</w:t>
            </w:r>
          </w:p>
        </w:tc>
        <w:tc>
          <w:tcPr>
            <w:tcW w:w="1134" w:type="dxa"/>
          </w:tcPr>
          <w:p w14:paraId="59349C16" w14:textId="77777777" w:rsidR="007067EA" w:rsidRDefault="00355612">
            <w:pPr>
              <w:spacing w:before="40" w:after="40" w:line="240" w:lineRule="auto"/>
              <w:jc w:val="center"/>
            </w:pPr>
            <w:r>
              <w:rPr>
                <w:rFonts w:ascii="黑体" w:eastAsia="黑体" w:hAnsi="黑体"/>
                <w:b/>
              </w:rPr>
              <w:t>最高</w:t>
            </w:r>
            <w:r>
              <w:rPr>
                <w:rFonts w:ascii="黑体" w:eastAsia="黑体" w:hAnsi="黑体"/>
                <w:b/>
              </w:rPr>
              <w:t>AUC</w:t>
            </w:r>
          </w:p>
        </w:tc>
        <w:tc>
          <w:tcPr>
            <w:tcW w:w="3175" w:type="dxa"/>
          </w:tcPr>
          <w:p w14:paraId="5254DF18" w14:textId="77777777" w:rsidR="007067EA" w:rsidRDefault="00355612">
            <w:pPr>
              <w:spacing w:before="40" w:after="40" w:line="240" w:lineRule="auto"/>
              <w:jc w:val="center"/>
            </w:pPr>
            <w:r>
              <w:rPr>
                <w:rFonts w:ascii="黑体" w:eastAsia="黑体" w:hAnsi="黑体"/>
                <w:b/>
              </w:rPr>
              <w:t>说明</w:t>
            </w:r>
          </w:p>
        </w:tc>
      </w:tr>
      <w:tr w:rsidR="007067EA" w14:paraId="34FCAE45" w14:textId="77777777">
        <w:trPr>
          <w:cantSplit/>
          <w:jc w:val="center"/>
        </w:trPr>
        <w:tc>
          <w:tcPr>
            <w:tcW w:w="1814" w:type="dxa"/>
          </w:tcPr>
          <w:p w14:paraId="0EF1C4C3" w14:textId="77777777" w:rsidR="007067EA" w:rsidRDefault="00355612">
            <w:pPr>
              <w:spacing w:before="20" w:after="20" w:line="240" w:lineRule="auto"/>
              <w:jc w:val="center"/>
            </w:pPr>
            <w:r>
              <w:t>乳腺癌（结构化）</w:t>
            </w:r>
          </w:p>
        </w:tc>
        <w:tc>
          <w:tcPr>
            <w:tcW w:w="1587" w:type="dxa"/>
          </w:tcPr>
          <w:p w14:paraId="6C1630A6" w14:textId="77777777" w:rsidR="007067EA" w:rsidRDefault="00355612">
            <w:pPr>
              <w:spacing w:before="20" w:after="20" w:line="240" w:lineRule="auto"/>
              <w:jc w:val="center"/>
            </w:pPr>
            <w:r>
              <w:t>逻辑回归</w:t>
            </w:r>
          </w:p>
        </w:tc>
        <w:tc>
          <w:tcPr>
            <w:tcW w:w="1361" w:type="dxa"/>
          </w:tcPr>
          <w:p w14:paraId="2A5538E8" w14:textId="77777777" w:rsidR="007067EA" w:rsidRDefault="00355612">
            <w:pPr>
              <w:spacing w:before="20" w:after="20" w:line="240" w:lineRule="auto"/>
              <w:jc w:val="center"/>
            </w:pPr>
            <w:r>
              <w:t>98.25%</w:t>
            </w:r>
          </w:p>
        </w:tc>
        <w:tc>
          <w:tcPr>
            <w:tcW w:w="1134" w:type="dxa"/>
          </w:tcPr>
          <w:p w14:paraId="2274E5A3" w14:textId="77777777" w:rsidR="007067EA" w:rsidRDefault="00355612">
            <w:pPr>
              <w:spacing w:before="20" w:after="20" w:line="240" w:lineRule="auto"/>
              <w:jc w:val="center"/>
            </w:pPr>
            <w:r>
              <w:t>0.995</w:t>
            </w:r>
          </w:p>
        </w:tc>
        <w:tc>
          <w:tcPr>
            <w:tcW w:w="3175" w:type="dxa"/>
          </w:tcPr>
          <w:p w14:paraId="799A7162" w14:textId="77777777" w:rsidR="007067EA" w:rsidRDefault="00355612">
            <w:pPr>
              <w:spacing w:before="20" w:after="20" w:line="240" w:lineRule="auto"/>
              <w:jc w:val="center"/>
            </w:pPr>
            <w:r>
              <w:t>特征区分度高，模型表现优异</w:t>
            </w:r>
          </w:p>
        </w:tc>
      </w:tr>
      <w:tr w:rsidR="007067EA" w14:paraId="739B7D4D" w14:textId="77777777">
        <w:trPr>
          <w:cantSplit/>
          <w:jc w:val="center"/>
        </w:trPr>
        <w:tc>
          <w:tcPr>
            <w:tcW w:w="1814" w:type="dxa"/>
          </w:tcPr>
          <w:p w14:paraId="5CB655AC" w14:textId="77777777" w:rsidR="007067EA" w:rsidRDefault="00355612">
            <w:pPr>
              <w:spacing w:before="20" w:after="20" w:line="240" w:lineRule="auto"/>
              <w:jc w:val="center"/>
            </w:pPr>
            <w:r>
              <w:t>长江电力（股价）</w:t>
            </w:r>
          </w:p>
        </w:tc>
        <w:tc>
          <w:tcPr>
            <w:tcW w:w="1587" w:type="dxa"/>
          </w:tcPr>
          <w:p w14:paraId="5A0181B2" w14:textId="77777777" w:rsidR="007067EA" w:rsidRDefault="00355612">
            <w:pPr>
              <w:spacing w:before="20" w:after="20" w:line="240" w:lineRule="auto"/>
              <w:jc w:val="center"/>
            </w:pPr>
            <w:r>
              <w:t>随机森林</w:t>
            </w:r>
          </w:p>
        </w:tc>
        <w:tc>
          <w:tcPr>
            <w:tcW w:w="1361" w:type="dxa"/>
          </w:tcPr>
          <w:p w14:paraId="06D97E2E" w14:textId="77777777" w:rsidR="007067EA" w:rsidRDefault="00355612">
            <w:pPr>
              <w:spacing w:before="20" w:after="20" w:line="240" w:lineRule="auto"/>
              <w:jc w:val="center"/>
            </w:pPr>
            <w:r>
              <w:t>46.67%</w:t>
            </w:r>
          </w:p>
        </w:tc>
        <w:tc>
          <w:tcPr>
            <w:tcW w:w="1134" w:type="dxa"/>
          </w:tcPr>
          <w:p w14:paraId="60CA6F7E" w14:textId="77777777" w:rsidR="007067EA" w:rsidRDefault="00355612">
            <w:pPr>
              <w:spacing w:before="20" w:after="20" w:line="240" w:lineRule="auto"/>
              <w:jc w:val="center"/>
            </w:pPr>
            <w:r>
              <w:t>0.46</w:t>
            </w:r>
          </w:p>
        </w:tc>
        <w:tc>
          <w:tcPr>
            <w:tcW w:w="3175" w:type="dxa"/>
          </w:tcPr>
          <w:p w14:paraId="51242B3C" w14:textId="77777777" w:rsidR="007067EA" w:rsidRDefault="00355612">
            <w:pPr>
              <w:spacing w:before="20" w:after="20" w:line="240" w:lineRule="auto"/>
              <w:jc w:val="center"/>
            </w:pPr>
            <w:r>
              <w:t>判别能力接近随机，预测困难</w:t>
            </w:r>
          </w:p>
        </w:tc>
      </w:tr>
    </w:tbl>
    <w:p w14:paraId="2F22F161" w14:textId="77777777" w:rsidR="007067EA" w:rsidRDefault="007067EA">
      <w:pPr>
        <w:spacing w:after="40"/>
      </w:pPr>
    </w:p>
    <w:p w14:paraId="6A92DA32" w14:textId="77777777" w:rsidR="007067EA" w:rsidRDefault="00355612">
      <w:pPr>
        <w:jc w:val="center"/>
      </w:pPr>
      <w:r>
        <w:rPr>
          <w:noProof/>
        </w:rPr>
        <w:drawing>
          <wp:inline distT="0" distB="0" distL="0" distR="0" wp14:anchorId="4DC836CF" wp14:editId="14EB8F79">
            <wp:extent cx="5400000" cy="3104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l_auc.png"/>
                    <pic:cNvPicPr/>
                  </pic:nvPicPr>
                  <pic:blipFill>
                    <a:blip r:embed="rId12"/>
                    <a:stretch>
                      <a:fillRect/>
                    </a:stretch>
                  </pic:blipFill>
                  <pic:spPr>
                    <a:xfrm>
                      <a:off x="0" y="0"/>
                      <a:ext cx="5400000" cy="3104405"/>
                    </a:xfrm>
                    <a:prstGeom prst="rect">
                      <a:avLst/>
                    </a:prstGeom>
                  </pic:spPr>
                </pic:pic>
              </a:graphicData>
            </a:graphic>
          </wp:inline>
        </w:drawing>
      </w:r>
    </w:p>
    <w:p w14:paraId="1EC9A6B4" w14:textId="77777777" w:rsidR="007067EA" w:rsidRDefault="00355612">
      <w:pPr>
        <w:spacing w:before="40" w:after="120"/>
        <w:jc w:val="center"/>
      </w:pPr>
      <w:r>
        <w:lastRenderedPageBreak/>
        <w:t>图</w:t>
      </w:r>
      <w:r>
        <w:t xml:space="preserve">5  </w:t>
      </w:r>
      <w:r>
        <w:t>机器学习模型在两类数据集上的判别能力对比</w:t>
      </w:r>
    </w:p>
    <w:p w14:paraId="390D0881" w14:textId="77777777" w:rsidR="007067EA" w:rsidRDefault="00355612">
      <w:pPr>
        <w:ind w:firstLine="420"/>
        <w:jc w:val="both"/>
      </w:pPr>
      <w:r>
        <w:t>任务六将问题升级为</w:t>
      </w:r>
      <w:r>
        <w:t>“</w:t>
      </w:r>
      <w:r>
        <w:t>全市场截面选股</w:t>
      </w:r>
      <w:r>
        <w:t>”</w:t>
      </w:r>
      <w:r>
        <w:t>：以</w:t>
      </w:r>
      <w:r>
        <w:t>100</w:t>
      </w:r>
      <w:r>
        <w:t>只</w:t>
      </w:r>
      <w:r>
        <w:t>A</w:t>
      </w:r>
      <w:r>
        <w:t>股、</w:t>
      </w:r>
      <w:r>
        <w:t>12</w:t>
      </w:r>
      <w:r>
        <w:t>个技术因子构建季度截面面板，用四种模型预测下季度收益并选取前</w:t>
      </w:r>
      <w:r>
        <w:t>30</w:t>
      </w:r>
      <w:r>
        <w:t>只持仓、按季度调仓。结果（表</w:t>
      </w:r>
      <w:r>
        <w:t>4</w:t>
      </w:r>
      <w:r>
        <w:t>、图</w:t>
      </w:r>
      <w:r>
        <w:t>6</w:t>
      </w:r>
      <w:r>
        <w:t>、图</w:t>
      </w:r>
      <w:r>
        <w:t>7</w:t>
      </w:r>
      <w:r>
        <w:t>）表明，极端梯度提升以</w:t>
      </w:r>
      <w:r>
        <w:t>3.10%</w:t>
      </w:r>
      <w:r>
        <w:t>的年化收益跑赢</w:t>
      </w:r>
      <w:r>
        <w:t>2.25%</w:t>
      </w:r>
      <w:r>
        <w:t>的等权基准，且是唯一信息系数为正的模型（</w:t>
      </w:r>
      <w:r>
        <w:t>0.0133</w:t>
      </w:r>
      <w:r>
        <w:t>），说明其在捕捉截面非线性规律上优于线性与单树模型；而线性回归因线性假设过强表现最差。</w:t>
      </w:r>
    </w:p>
    <w:p w14:paraId="440C10C8" w14:textId="77777777" w:rsidR="007067EA" w:rsidRDefault="00355612">
      <w:pPr>
        <w:spacing w:before="120" w:after="80"/>
        <w:jc w:val="center"/>
      </w:pPr>
      <w:r>
        <w:rPr>
          <w:b/>
        </w:rPr>
        <w:t>表</w:t>
      </w:r>
      <w:r>
        <w:rPr>
          <w:b/>
        </w:rPr>
        <w:t xml:space="preserve">4  </w:t>
      </w:r>
      <w:r>
        <w:rPr>
          <w:b/>
        </w:rPr>
        <w:t>截面选股四种模型绩效（测试期</w:t>
      </w:r>
      <w:r>
        <w:rPr>
          <w:b/>
        </w:rPr>
        <w:t>2021—2024</w:t>
      </w:r>
      <w:r>
        <w:rPr>
          <w:b/>
        </w:rPr>
        <w:t>）</w:t>
      </w:r>
    </w:p>
    <w:tbl>
      <w:tblPr>
        <w:tblStyle w:val="aff1"/>
        <w:tblW w:w="0" w:type="auto"/>
        <w:jc w:val="center"/>
        <w:tblLayout w:type="fixed"/>
        <w:tblLook w:val="04A0" w:firstRow="1" w:lastRow="0" w:firstColumn="1" w:lastColumn="0" w:noHBand="0" w:noVBand="1"/>
      </w:tblPr>
      <w:tblGrid>
        <w:gridCol w:w="1814"/>
        <w:gridCol w:w="1474"/>
        <w:gridCol w:w="1474"/>
        <w:gridCol w:w="1474"/>
        <w:gridCol w:w="1361"/>
      </w:tblGrid>
      <w:tr w:rsidR="007067EA" w14:paraId="6390339F" w14:textId="77777777">
        <w:trPr>
          <w:cantSplit/>
          <w:jc w:val="center"/>
        </w:trPr>
        <w:tc>
          <w:tcPr>
            <w:tcW w:w="1814" w:type="dxa"/>
          </w:tcPr>
          <w:p w14:paraId="1DECB348" w14:textId="77777777" w:rsidR="007067EA" w:rsidRDefault="00355612">
            <w:pPr>
              <w:spacing w:before="40" w:after="40" w:line="240" w:lineRule="auto"/>
              <w:jc w:val="center"/>
            </w:pPr>
            <w:r>
              <w:rPr>
                <w:rFonts w:ascii="黑体" w:eastAsia="黑体" w:hAnsi="黑体"/>
                <w:b/>
              </w:rPr>
              <w:t>模型</w:t>
            </w:r>
          </w:p>
        </w:tc>
        <w:tc>
          <w:tcPr>
            <w:tcW w:w="1474" w:type="dxa"/>
          </w:tcPr>
          <w:p w14:paraId="1CA696D8" w14:textId="77777777" w:rsidR="007067EA" w:rsidRDefault="00355612">
            <w:pPr>
              <w:spacing w:before="40" w:after="40" w:line="240" w:lineRule="auto"/>
              <w:jc w:val="center"/>
            </w:pPr>
            <w:r>
              <w:rPr>
                <w:rFonts w:ascii="黑体" w:eastAsia="黑体" w:hAnsi="黑体"/>
                <w:b/>
              </w:rPr>
              <w:t>年化收益</w:t>
            </w:r>
            <w:r>
              <w:rPr>
                <w:rFonts w:ascii="黑体" w:eastAsia="黑体" w:hAnsi="黑体"/>
                <w:b/>
              </w:rPr>
              <w:t>(%)</w:t>
            </w:r>
          </w:p>
        </w:tc>
        <w:tc>
          <w:tcPr>
            <w:tcW w:w="1474" w:type="dxa"/>
          </w:tcPr>
          <w:p w14:paraId="3DF58D19" w14:textId="77777777" w:rsidR="007067EA" w:rsidRDefault="00355612">
            <w:pPr>
              <w:spacing w:before="40" w:after="40" w:line="240" w:lineRule="auto"/>
              <w:jc w:val="center"/>
            </w:pPr>
            <w:r>
              <w:rPr>
                <w:rFonts w:ascii="黑体" w:eastAsia="黑体" w:hAnsi="黑体"/>
                <w:b/>
              </w:rPr>
              <w:t>最大回撤</w:t>
            </w:r>
            <w:r>
              <w:rPr>
                <w:rFonts w:ascii="黑体" w:eastAsia="黑体" w:hAnsi="黑体"/>
                <w:b/>
              </w:rPr>
              <w:t>(%)</w:t>
            </w:r>
          </w:p>
        </w:tc>
        <w:tc>
          <w:tcPr>
            <w:tcW w:w="1474" w:type="dxa"/>
          </w:tcPr>
          <w:p w14:paraId="1032CD81" w14:textId="77777777" w:rsidR="007067EA" w:rsidRDefault="00355612">
            <w:pPr>
              <w:spacing w:before="40" w:after="40" w:line="240" w:lineRule="auto"/>
              <w:jc w:val="center"/>
            </w:pPr>
            <w:r>
              <w:rPr>
                <w:rFonts w:ascii="黑体" w:eastAsia="黑体" w:hAnsi="黑体"/>
                <w:b/>
              </w:rPr>
              <w:t>夏普比率</w:t>
            </w:r>
          </w:p>
        </w:tc>
        <w:tc>
          <w:tcPr>
            <w:tcW w:w="1361" w:type="dxa"/>
          </w:tcPr>
          <w:p w14:paraId="0802840A" w14:textId="77777777" w:rsidR="007067EA" w:rsidRDefault="00355612">
            <w:pPr>
              <w:spacing w:before="40" w:after="40" w:line="240" w:lineRule="auto"/>
              <w:jc w:val="center"/>
            </w:pPr>
            <w:r>
              <w:rPr>
                <w:rFonts w:ascii="黑体" w:eastAsia="黑体" w:hAnsi="黑体"/>
                <w:b/>
              </w:rPr>
              <w:t>信息系数</w:t>
            </w:r>
          </w:p>
        </w:tc>
      </w:tr>
      <w:tr w:rsidR="007067EA" w14:paraId="70C2F3C6" w14:textId="77777777">
        <w:trPr>
          <w:cantSplit/>
          <w:jc w:val="center"/>
        </w:trPr>
        <w:tc>
          <w:tcPr>
            <w:tcW w:w="1814" w:type="dxa"/>
          </w:tcPr>
          <w:p w14:paraId="2E19393F" w14:textId="77777777" w:rsidR="007067EA" w:rsidRDefault="00355612">
            <w:pPr>
              <w:spacing w:before="20" w:after="20" w:line="240" w:lineRule="auto"/>
              <w:jc w:val="center"/>
            </w:pPr>
            <w:r>
              <w:t>线性回归</w:t>
            </w:r>
          </w:p>
        </w:tc>
        <w:tc>
          <w:tcPr>
            <w:tcW w:w="1474" w:type="dxa"/>
          </w:tcPr>
          <w:p w14:paraId="18B6019A" w14:textId="77777777" w:rsidR="007067EA" w:rsidRDefault="00355612">
            <w:pPr>
              <w:spacing w:before="20" w:after="20" w:line="240" w:lineRule="auto"/>
              <w:jc w:val="center"/>
            </w:pPr>
            <w:r>
              <w:t>-3.83</w:t>
            </w:r>
          </w:p>
        </w:tc>
        <w:tc>
          <w:tcPr>
            <w:tcW w:w="1474" w:type="dxa"/>
          </w:tcPr>
          <w:p w14:paraId="19683103" w14:textId="77777777" w:rsidR="007067EA" w:rsidRDefault="00355612">
            <w:pPr>
              <w:spacing w:before="20" w:after="20" w:line="240" w:lineRule="auto"/>
              <w:jc w:val="center"/>
            </w:pPr>
            <w:r>
              <w:t>-22.77</w:t>
            </w:r>
          </w:p>
        </w:tc>
        <w:tc>
          <w:tcPr>
            <w:tcW w:w="1474" w:type="dxa"/>
          </w:tcPr>
          <w:p w14:paraId="4D2CFF2E" w14:textId="77777777" w:rsidR="007067EA" w:rsidRDefault="00355612">
            <w:pPr>
              <w:spacing w:before="20" w:after="20" w:line="240" w:lineRule="auto"/>
              <w:jc w:val="center"/>
            </w:pPr>
            <w:r>
              <w:t>-0.22</w:t>
            </w:r>
          </w:p>
        </w:tc>
        <w:tc>
          <w:tcPr>
            <w:tcW w:w="1361" w:type="dxa"/>
          </w:tcPr>
          <w:p w14:paraId="52465F4D" w14:textId="77777777" w:rsidR="007067EA" w:rsidRDefault="00355612">
            <w:pPr>
              <w:spacing w:before="20" w:after="20" w:line="240" w:lineRule="auto"/>
              <w:jc w:val="center"/>
            </w:pPr>
            <w:r>
              <w:t>-0.0869</w:t>
            </w:r>
          </w:p>
        </w:tc>
      </w:tr>
      <w:tr w:rsidR="007067EA" w14:paraId="268C4115" w14:textId="77777777">
        <w:trPr>
          <w:cantSplit/>
          <w:jc w:val="center"/>
        </w:trPr>
        <w:tc>
          <w:tcPr>
            <w:tcW w:w="1814" w:type="dxa"/>
          </w:tcPr>
          <w:p w14:paraId="020ED4DD" w14:textId="77777777" w:rsidR="007067EA" w:rsidRDefault="00355612">
            <w:pPr>
              <w:spacing w:before="20" w:after="20" w:line="240" w:lineRule="auto"/>
              <w:jc w:val="center"/>
            </w:pPr>
            <w:r>
              <w:t>决策树</w:t>
            </w:r>
          </w:p>
        </w:tc>
        <w:tc>
          <w:tcPr>
            <w:tcW w:w="1474" w:type="dxa"/>
          </w:tcPr>
          <w:p w14:paraId="0E08E559" w14:textId="77777777" w:rsidR="007067EA" w:rsidRDefault="00355612">
            <w:pPr>
              <w:spacing w:before="20" w:after="20" w:line="240" w:lineRule="auto"/>
              <w:jc w:val="center"/>
            </w:pPr>
            <w:r>
              <w:t>2.40</w:t>
            </w:r>
          </w:p>
        </w:tc>
        <w:tc>
          <w:tcPr>
            <w:tcW w:w="1474" w:type="dxa"/>
          </w:tcPr>
          <w:p w14:paraId="0653509E" w14:textId="77777777" w:rsidR="007067EA" w:rsidRDefault="00355612">
            <w:pPr>
              <w:spacing w:before="20" w:after="20" w:line="240" w:lineRule="auto"/>
              <w:jc w:val="center"/>
            </w:pPr>
            <w:r>
              <w:t>-16.92</w:t>
            </w:r>
          </w:p>
        </w:tc>
        <w:tc>
          <w:tcPr>
            <w:tcW w:w="1474" w:type="dxa"/>
          </w:tcPr>
          <w:p w14:paraId="45487A3D" w14:textId="77777777" w:rsidR="007067EA" w:rsidRDefault="00355612">
            <w:pPr>
              <w:spacing w:before="20" w:after="20" w:line="240" w:lineRule="auto"/>
              <w:jc w:val="center"/>
            </w:pPr>
            <w:r>
              <w:t>0.14</w:t>
            </w:r>
          </w:p>
        </w:tc>
        <w:tc>
          <w:tcPr>
            <w:tcW w:w="1361" w:type="dxa"/>
          </w:tcPr>
          <w:p w14:paraId="088662E3" w14:textId="77777777" w:rsidR="007067EA" w:rsidRDefault="00355612">
            <w:pPr>
              <w:spacing w:before="20" w:after="20" w:line="240" w:lineRule="auto"/>
              <w:jc w:val="center"/>
            </w:pPr>
            <w:r>
              <w:t>-0.0260</w:t>
            </w:r>
          </w:p>
        </w:tc>
      </w:tr>
      <w:tr w:rsidR="007067EA" w14:paraId="6312F607" w14:textId="77777777">
        <w:trPr>
          <w:cantSplit/>
          <w:jc w:val="center"/>
        </w:trPr>
        <w:tc>
          <w:tcPr>
            <w:tcW w:w="1814" w:type="dxa"/>
          </w:tcPr>
          <w:p w14:paraId="6DA99952" w14:textId="77777777" w:rsidR="007067EA" w:rsidRDefault="00355612">
            <w:pPr>
              <w:spacing w:before="20" w:after="20" w:line="240" w:lineRule="auto"/>
              <w:jc w:val="center"/>
            </w:pPr>
            <w:r>
              <w:t>随机森林</w:t>
            </w:r>
          </w:p>
        </w:tc>
        <w:tc>
          <w:tcPr>
            <w:tcW w:w="1474" w:type="dxa"/>
          </w:tcPr>
          <w:p w14:paraId="1E6BBEB3" w14:textId="77777777" w:rsidR="007067EA" w:rsidRDefault="00355612">
            <w:pPr>
              <w:spacing w:before="20" w:after="20" w:line="240" w:lineRule="auto"/>
              <w:jc w:val="center"/>
            </w:pPr>
            <w:r>
              <w:t>-1.30</w:t>
            </w:r>
          </w:p>
        </w:tc>
        <w:tc>
          <w:tcPr>
            <w:tcW w:w="1474" w:type="dxa"/>
          </w:tcPr>
          <w:p w14:paraId="267F9FB0" w14:textId="77777777" w:rsidR="007067EA" w:rsidRDefault="00355612">
            <w:pPr>
              <w:spacing w:before="20" w:after="20" w:line="240" w:lineRule="auto"/>
              <w:jc w:val="center"/>
            </w:pPr>
            <w:r>
              <w:t>-20.45</w:t>
            </w:r>
          </w:p>
        </w:tc>
        <w:tc>
          <w:tcPr>
            <w:tcW w:w="1474" w:type="dxa"/>
          </w:tcPr>
          <w:p w14:paraId="091DE16E" w14:textId="77777777" w:rsidR="007067EA" w:rsidRDefault="00355612">
            <w:pPr>
              <w:spacing w:before="20" w:after="20" w:line="240" w:lineRule="auto"/>
              <w:jc w:val="center"/>
            </w:pPr>
            <w:r>
              <w:t>-0.07</w:t>
            </w:r>
          </w:p>
        </w:tc>
        <w:tc>
          <w:tcPr>
            <w:tcW w:w="1361" w:type="dxa"/>
          </w:tcPr>
          <w:p w14:paraId="5A5DFF2B" w14:textId="77777777" w:rsidR="007067EA" w:rsidRDefault="00355612">
            <w:pPr>
              <w:spacing w:before="20" w:after="20" w:line="240" w:lineRule="auto"/>
              <w:jc w:val="center"/>
            </w:pPr>
            <w:r>
              <w:t>-0.0040</w:t>
            </w:r>
          </w:p>
        </w:tc>
      </w:tr>
      <w:tr w:rsidR="007067EA" w14:paraId="34EA015F" w14:textId="77777777">
        <w:trPr>
          <w:cantSplit/>
          <w:jc w:val="center"/>
        </w:trPr>
        <w:tc>
          <w:tcPr>
            <w:tcW w:w="1814" w:type="dxa"/>
          </w:tcPr>
          <w:p w14:paraId="6975497A" w14:textId="77777777" w:rsidR="007067EA" w:rsidRDefault="00355612">
            <w:pPr>
              <w:spacing w:before="20" w:after="20" w:line="240" w:lineRule="auto"/>
              <w:jc w:val="center"/>
            </w:pPr>
            <w:r>
              <w:t>极端梯度提升</w:t>
            </w:r>
          </w:p>
        </w:tc>
        <w:tc>
          <w:tcPr>
            <w:tcW w:w="1474" w:type="dxa"/>
          </w:tcPr>
          <w:p w14:paraId="5390AC7A" w14:textId="77777777" w:rsidR="007067EA" w:rsidRDefault="00355612">
            <w:pPr>
              <w:spacing w:before="20" w:after="20" w:line="240" w:lineRule="auto"/>
              <w:jc w:val="center"/>
            </w:pPr>
            <w:r>
              <w:t>3.10</w:t>
            </w:r>
          </w:p>
        </w:tc>
        <w:tc>
          <w:tcPr>
            <w:tcW w:w="1474" w:type="dxa"/>
          </w:tcPr>
          <w:p w14:paraId="7035B862" w14:textId="77777777" w:rsidR="007067EA" w:rsidRDefault="00355612">
            <w:pPr>
              <w:spacing w:before="20" w:after="20" w:line="240" w:lineRule="auto"/>
              <w:jc w:val="center"/>
            </w:pPr>
            <w:r>
              <w:t>-16.61</w:t>
            </w:r>
          </w:p>
        </w:tc>
        <w:tc>
          <w:tcPr>
            <w:tcW w:w="1474" w:type="dxa"/>
          </w:tcPr>
          <w:p w14:paraId="57EF6F4D" w14:textId="77777777" w:rsidR="007067EA" w:rsidRDefault="00355612">
            <w:pPr>
              <w:spacing w:before="20" w:after="20" w:line="240" w:lineRule="auto"/>
              <w:jc w:val="center"/>
            </w:pPr>
            <w:r>
              <w:t>0.17</w:t>
            </w:r>
          </w:p>
        </w:tc>
        <w:tc>
          <w:tcPr>
            <w:tcW w:w="1361" w:type="dxa"/>
          </w:tcPr>
          <w:p w14:paraId="178DC5CD" w14:textId="77777777" w:rsidR="007067EA" w:rsidRDefault="00355612">
            <w:pPr>
              <w:spacing w:before="20" w:after="20" w:line="240" w:lineRule="auto"/>
              <w:jc w:val="center"/>
            </w:pPr>
            <w:r>
              <w:t>0.0133</w:t>
            </w:r>
          </w:p>
        </w:tc>
      </w:tr>
      <w:tr w:rsidR="007067EA" w14:paraId="60397516" w14:textId="77777777">
        <w:trPr>
          <w:cantSplit/>
          <w:jc w:val="center"/>
        </w:trPr>
        <w:tc>
          <w:tcPr>
            <w:tcW w:w="1814" w:type="dxa"/>
          </w:tcPr>
          <w:p w14:paraId="10436052" w14:textId="77777777" w:rsidR="007067EA" w:rsidRDefault="00355612">
            <w:pPr>
              <w:spacing w:before="20" w:after="20" w:line="240" w:lineRule="auto"/>
              <w:jc w:val="center"/>
            </w:pPr>
            <w:r>
              <w:t>等权基准</w:t>
            </w:r>
          </w:p>
        </w:tc>
        <w:tc>
          <w:tcPr>
            <w:tcW w:w="1474" w:type="dxa"/>
          </w:tcPr>
          <w:p w14:paraId="03D2F638" w14:textId="77777777" w:rsidR="007067EA" w:rsidRDefault="00355612">
            <w:pPr>
              <w:spacing w:before="20" w:after="20" w:line="240" w:lineRule="auto"/>
              <w:jc w:val="center"/>
            </w:pPr>
            <w:r>
              <w:t>2.25</w:t>
            </w:r>
          </w:p>
        </w:tc>
        <w:tc>
          <w:tcPr>
            <w:tcW w:w="1474" w:type="dxa"/>
          </w:tcPr>
          <w:p w14:paraId="4F3C804F" w14:textId="77777777" w:rsidR="007067EA" w:rsidRDefault="00355612">
            <w:pPr>
              <w:spacing w:before="20" w:after="20" w:line="240" w:lineRule="auto"/>
              <w:jc w:val="center"/>
            </w:pPr>
            <w:r>
              <w:t>—</w:t>
            </w:r>
          </w:p>
        </w:tc>
        <w:tc>
          <w:tcPr>
            <w:tcW w:w="1474" w:type="dxa"/>
          </w:tcPr>
          <w:p w14:paraId="5F1338DB" w14:textId="77777777" w:rsidR="007067EA" w:rsidRDefault="00355612">
            <w:pPr>
              <w:spacing w:before="20" w:after="20" w:line="240" w:lineRule="auto"/>
              <w:jc w:val="center"/>
            </w:pPr>
            <w:r>
              <w:t>—</w:t>
            </w:r>
          </w:p>
        </w:tc>
        <w:tc>
          <w:tcPr>
            <w:tcW w:w="1361" w:type="dxa"/>
          </w:tcPr>
          <w:p w14:paraId="7F790172" w14:textId="77777777" w:rsidR="007067EA" w:rsidRDefault="00355612">
            <w:pPr>
              <w:spacing w:before="20" w:after="20" w:line="240" w:lineRule="auto"/>
              <w:jc w:val="center"/>
            </w:pPr>
            <w:r>
              <w:t>—</w:t>
            </w:r>
          </w:p>
        </w:tc>
      </w:tr>
    </w:tbl>
    <w:p w14:paraId="174DC4CE" w14:textId="77777777" w:rsidR="007067EA" w:rsidRDefault="007067EA">
      <w:pPr>
        <w:spacing w:after="40"/>
      </w:pPr>
    </w:p>
    <w:p w14:paraId="1D83D753" w14:textId="77777777" w:rsidR="007067EA" w:rsidRDefault="00355612">
      <w:pPr>
        <w:jc w:val="center"/>
      </w:pPr>
      <w:r>
        <w:rPr>
          <w:noProof/>
        </w:rPr>
        <w:drawing>
          <wp:inline distT="0" distB="0" distL="0" distR="0" wp14:anchorId="2BEBDA7E" wp14:editId="1229DCD5">
            <wp:extent cx="5400000" cy="34098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s_return.png"/>
                    <pic:cNvPicPr/>
                  </pic:nvPicPr>
                  <pic:blipFill>
                    <a:blip r:embed="rId13"/>
                    <a:stretch>
                      <a:fillRect/>
                    </a:stretch>
                  </pic:blipFill>
                  <pic:spPr>
                    <a:xfrm>
                      <a:off x="0" y="0"/>
                      <a:ext cx="5400000" cy="3409839"/>
                    </a:xfrm>
                    <a:prstGeom prst="rect">
                      <a:avLst/>
                    </a:prstGeom>
                  </pic:spPr>
                </pic:pic>
              </a:graphicData>
            </a:graphic>
          </wp:inline>
        </w:drawing>
      </w:r>
    </w:p>
    <w:p w14:paraId="65E83F60" w14:textId="77777777" w:rsidR="007067EA" w:rsidRDefault="00355612">
      <w:pPr>
        <w:spacing w:before="40" w:after="120"/>
        <w:jc w:val="center"/>
      </w:pPr>
      <w:r>
        <w:t>图</w:t>
      </w:r>
      <w:r>
        <w:t xml:space="preserve">6  </w:t>
      </w:r>
      <w:r>
        <w:t>截面选股四种模型的年化收益率</w:t>
      </w:r>
    </w:p>
    <w:p w14:paraId="19D436DF" w14:textId="77777777" w:rsidR="007067EA" w:rsidRDefault="00355612">
      <w:pPr>
        <w:jc w:val="center"/>
      </w:pPr>
      <w:r>
        <w:rPr>
          <w:noProof/>
        </w:rPr>
        <w:lastRenderedPageBreak/>
        <w:drawing>
          <wp:inline distT="0" distB="0" distL="0" distR="0" wp14:anchorId="6B098EAC" wp14:editId="68B35EA2">
            <wp:extent cx="5400000" cy="3331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s_ic.png"/>
                    <pic:cNvPicPr/>
                  </pic:nvPicPr>
                  <pic:blipFill>
                    <a:blip r:embed="rId14"/>
                    <a:stretch>
                      <a:fillRect/>
                    </a:stretch>
                  </pic:blipFill>
                  <pic:spPr>
                    <a:xfrm>
                      <a:off x="0" y="0"/>
                      <a:ext cx="5400000" cy="3331255"/>
                    </a:xfrm>
                    <a:prstGeom prst="rect">
                      <a:avLst/>
                    </a:prstGeom>
                  </pic:spPr>
                </pic:pic>
              </a:graphicData>
            </a:graphic>
          </wp:inline>
        </w:drawing>
      </w:r>
    </w:p>
    <w:p w14:paraId="7D49B930" w14:textId="77777777" w:rsidR="007067EA" w:rsidRDefault="00355612">
      <w:pPr>
        <w:spacing w:before="40" w:after="120"/>
        <w:jc w:val="center"/>
      </w:pPr>
      <w:r>
        <w:t>图</w:t>
      </w:r>
      <w:r>
        <w:t xml:space="preserve">7  </w:t>
      </w:r>
      <w:r>
        <w:t>截面选股各模型的平均信息系数</w:t>
      </w:r>
    </w:p>
    <w:p w14:paraId="10525EC7" w14:textId="77777777" w:rsidR="007067EA" w:rsidRDefault="00355612">
      <w:pPr>
        <w:spacing w:before="80" w:after="80"/>
        <w:outlineLvl w:val="1"/>
      </w:pPr>
      <w:bookmarkStart w:id="10" w:name="_Toc235744212"/>
      <w:r>
        <w:rPr>
          <w:rFonts w:ascii="黑体" w:eastAsia="黑体" w:hAnsi="黑体"/>
          <w:b/>
          <w:sz w:val="28"/>
        </w:rPr>
        <w:t xml:space="preserve">2.4  </w:t>
      </w:r>
      <w:r>
        <w:rPr>
          <w:rFonts w:ascii="黑体" w:eastAsia="黑体" w:hAnsi="黑体"/>
          <w:b/>
          <w:sz w:val="28"/>
        </w:rPr>
        <w:t>实盘模拟策略（任务七）</w:t>
      </w:r>
      <w:bookmarkEnd w:id="10"/>
    </w:p>
    <w:p w14:paraId="430AA0FB" w14:textId="77777777" w:rsidR="007067EA" w:rsidRDefault="00355612">
      <w:pPr>
        <w:ind w:firstLine="420"/>
        <w:jc w:val="both"/>
      </w:pPr>
      <w:r>
        <w:t>任务七将多因子截面选股落地到聚宽研究平台，进行回测与实盘模拟。长区间（</w:t>
      </w:r>
      <w:r>
        <w:t>2020</w:t>
      </w:r>
      <w:r>
        <w:t>年</w:t>
      </w:r>
      <w:r>
        <w:t>7</w:t>
      </w:r>
      <w:r>
        <w:t>月至</w:t>
      </w:r>
      <w:r>
        <w:t>2026</w:t>
      </w:r>
      <w:r>
        <w:t>年</w:t>
      </w:r>
      <w:r>
        <w:t>6</w:t>
      </w:r>
      <w:r>
        <w:t>月，初始资金</w:t>
      </w:r>
      <w:r>
        <w:t>10</w:t>
      </w:r>
      <w:r>
        <w:t>万元）年化收益</w:t>
      </w:r>
      <w:r>
        <w:t>2.97%</w:t>
      </w:r>
      <w:r>
        <w:t>、最大回撤</w:t>
      </w:r>
      <w:r>
        <w:t>24.28%</w:t>
      </w:r>
      <w:r>
        <w:t>、夏普比率</w:t>
      </w:r>
      <w:r>
        <w:t>-0.080</w:t>
      </w:r>
      <w:r>
        <w:t>，跑输同期沪深</w:t>
      </w:r>
      <w:r>
        <w:t>300</w:t>
      </w:r>
      <w:r>
        <w:t>的</w:t>
      </w:r>
      <w:r>
        <w:t>19.58%</w:t>
      </w:r>
      <w:r>
        <w:t>；而在样本外短区间，年化收益衰减至</w:t>
      </w:r>
      <w:r>
        <w:t>-8.44%</w:t>
      </w:r>
      <w:r>
        <w:t>、夏普比率</w:t>
      </w:r>
      <w:r>
        <w:t>-0.701</w:t>
      </w:r>
      <w:r>
        <w:t>，表现下滑明显。这再次印证了样本外衰减是量化策略的普遍挑战，也说明该研究仍处于方法验证阶段，尚未进入实盘部署。</w:t>
      </w:r>
    </w:p>
    <w:p w14:paraId="09CE88DD" w14:textId="77777777" w:rsidR="007067EA" w:rsidRDefault="00355612">
      <w:pPr>
        <w:spacing w:before="120" w:after="80"/>
        <w:jc w:val="center"/>
      </w:pPr>
      <w:r>
        <w:rPr>
          <w:b/>
        </w:rPr>
        <w:t>表</w:t>
      </w:r>
      <w:r>
        <w:rPr>
          <w:b/>
        </w:rPr>
        <w:t xml:space="preserve">5  </w:t>
      </w:r>
      <w:r>
        <w:rPr>
          <w:b/>
        </w:rPr>
        <w:t>实战策略（任务七）关键指标</w:t>
      </w:r>
    </w:p>
    <w:tbl>
      <w:tblPr>
        <w:tblStyle w:val="aff1"/>
        <w:tblW w:w="0" w:type="auto"/>
        <w:jc w:val="center"/>
        <w:tblLayout w:type="fixed"/>
        <w:tblLook w:val="04A0" w:firstRow="1" w:lastRow="0" w:firstColumn="1" w:lastColumn="0" w:noHBand="0" w:noVBand="1"/>
      </w:tblPr>
      <w:tblGrid>
        <w:gridCol w:w="1361"/>
        <w:gridCol w:w="1474"/>
        <w:gridCol w:w="1474"/>
        <w:gridCol w:w="1474"/>
        <w:gridCol w:w="3288"/>
      </w:tblGrid>
      <w:tr w:rsidR="007067EA" w14:paraId="49C73488" w14:textId="77777777">
        <w:trPr>
          <w:cantSplit/>
          <w:jc w:val="center"/>
        </w:trPr>
        <w:tc>
          <w:tcPr>
            <w:tcW w:w="1361" w:type="dxa"/>
          </w:tcPr>
          <w:p w14:paraId="53654B4B" w14:textId="77777777" w:rsidR="007067EA" w:rsidRDefault="00355612">
            <w:pPr>
              <w:spacing w:before="40" w:after="40" w:line="240" w:lineRule="auto"/>
              <w:jc w:val="center"/>
            </w:pPr>
            <w:r>
              <w:rPr>
                <w:rFonts w:ascii="黑体" w:eastAsia="黑体" w:hAnsi="黑体"/>
                <w:b/>
              </w:rPr>
              <w:t>区间</w:t>
            </w:r>
          </w:p>
        </w:tc>
        <w:tc>
          <w:tcPr>
            <w:tcW w:w="1474" w:type="dxa"/>
          </w:tcPr>
          <w:p w14:paraId="7006613F" w14:textId="77777777" w:rsidR="007067EA" w:rsidRDefault="00355612">
            <w:pPr>
              <w:spacing w:before="40" w:after="40" w:line="240" w:lineRule="auto"/>
              <w:jc w:val="center"/>
            </w:pPr>
            <w:r>
              <w:rPr>
                <w:rFonts w:ascii="黑体" w:eastAsia="黑体" w:hAnsi="黑体"/>
                <w:b/>
              </w:rPr>
              <w:t>年化收益</w:t>
            </w:r>
            <w:r>
              <w:rPr>
                <w:rFonts w:ascii="黑体" w:eastAsia="黑体" w:hAnsi="黑体"/>
                <w:b/>
              </w:rPr>
              <w:t>(%)</w:t>
            </w:r>
          </w:p>
        </w:tc>
        <w:tc>
          <w:tcPr>
            <w:tcW w:w="1474" w:type="dxa"/>
          </w:tcPr>
          <w:p w14:paraId="3FCDA865" w14:textId="77777777" w:rsidR="007067EA" w:rsidRDefault="00355612">
            <w:pPr>
              <w:spacing w:before="40" w:after="40" w:line="240" w:lineRule="auto"/>
              <w:jc w:val="center"/>
            </w:pPr>
            <w:r>
              <w:rPr>
                <w:rFonts w:ascii="黑体" w:eastAsia="黑体" w:hAnsi="黑体"/>
                <w:b/>
              </w:rPr>
              <w:t>最大回撤</w:t>
            </w:r>
            <w:r>
              <w:rPr>
                <w:rFonts w:ascii="黑体" w:eastAsia="黑体" w:hAnsi="黑体"/>
                <w:b/>
              </w:rPr>
              <w:t>(%)</w:t>
            </w:r>
          </w:p>
        </w:tc>
        <w:tc>
          <w:tcPr>
            <w:tcW w:w="1474" w:type="dxa"/>
          </w:tcPr>
          <w:p w14:paraId="4FC203EE" w14:textId="77777777" w:rsidR="007067EA" w:rsidRDefault="00355612">
            <w:pPr>
              <w:spacing w:before="40" w:after="40" w:line="240" w:lineRule="auto"/>
              <w:jc w:val="center"/>
            </w:pPr>
            <w:r>
              <w:rPr>
                <w:rFonts w:ascii="黑体" w:eastAsia="黑体" w:hAnsi="黑体"/>
                <w:b/>
              </w:rPr>
              <w:t>夏普比率</w:t>
            </w:r>
          </w:p>
        </w:tc>
        <w:tc>
          <w:tcPr>
            <w:tcW w:w="3288" w:type="dxa"/>
          </w:tcPr>
          <w:p w14:paraId="611DA81C" w14:textId="77777777" w:rsidR="007067EA" w:rsidRDefault="00355612">
            <w:pPr>
              <w:spacing w:before="40" w:after="40" w:line="240" w:lineRule="auto"/>
              <w:jc w:val="center"/>
            </w:pPr>
            <w:r>
              <w:rPr>
                <w:rFonts w:ascii="黑体" w:eastAsia="黑体" w:hAnsi="黑体"/>
                <w:b/>
              </w:rPr>
              <w:t>对比基准</w:t>
            </w:r>
          </w:p>
        </w:tc>
      </w:tr>
      <w:tr w:rsidR="007067EA" w14:paraId="168F7FDA" w14:textId="77777777">
        <w:trPr>
          <w:cantSplit/>
          <w:jc w:val="center"/>
        </w:trPr>
        <w:tc>
          <w:tcPr>
            <w:tcW w:w="1361" w:type="dxa"/>
          </w:tcPr>
          <w:p w14:paraId="7A3710A2" w14:textId="77777777" w:rsidR="007067EA" w:rsidRDefault="00355612">
            <w:pPr>
              <w:spacing w:before="20" w:after="20" w:line="240" w:lineRule="auto"/>
              <w:jc w:val="center"/>
            </w:pPr>
            <w:r>
              <w:t>长区间</w:t>
            </w:r>
          </w:p>
        </w:tc>
        <w:tc>
          <w:tcPr>
            <w:tcW w:w="1474" w:type="dxa"/>
          </w:tcPr>
          <w:p w14:paraId="2D85FEC7" w14:textId="77777777" w:rsidR="007067EA" w:rsidRDefault="00355612">
            <w:pPr>
              <w:spacing w:before="20" w:after="20" w:line="240" w:lineRule="auto"/>
              <w:jc w:val="center"/>
            </w:pPr>
            <w:r>
              <w:t>2.97</w:t>
            </w:r>
          </w:p>
        </w:tc>
        <w:tc>
          <w:tcPr>
            <w:tcW w:w="1474" w:type="dxa"/>
          </w:tcPr>
          <w:p w14:paraId="088BEFBD" w14:textId="77777777" w:rsidR="007067EA" w:rsidRDefault="00355612">
            <w:pPr>
              <w:spacing w:before="20" w:after="20" w:line="240" w:lineRule="auto"/>
              <w:jc w:val="center"/>
            </w:pPr>
            <w:r>
              <w:t>24.28</w:t>
            </w:r>
          </w:p>
        </w:tc>
        <w:tc>
          <w:tcPr>
            <w:tcW w:w="1474" w:type="dxa"/>
          </w:tcPr>
          <w:p w14:paraId="7B78D829" w14:textId="77777777" w:rsidR="007067EA" w:rsidRDefault="00355612">
            <w:pPr>
              <w:spacing w:before="20" w:after="20" w:line="240" w:lineRule="auto"/>
              <w:jc w:val="center"/>
            </w:pPr>
            <w:r>
              <w:t>-0.080</w:t>
            </w:r>
          </w:p>
        </w:tc>
        <w:tc>
          <w:tcPr>
            <w:tcW w:w="3288" w:type="dxa"/>
          </w:tcPr>
          <w:p w14:paraId="66098711" w14:textId="77777777" w:rsidR="007067EA" w:rsidRDefault="00355612">
            <w:pPr>
              <w:spacing w:before="20" w:after="20" w:line="240" w:lineRule="auto"/>
              <w:jc w:val="center"/>
            </w:pPr>
            <w:r>
              <w:t>沪深</w:t>
            </w:r>
            <w:r>
              <w:t>300</w:t>
            </w:r>
            <w:r>
              <w:t>同期</w:t>
            </w:r>
            <w:r>
              <w:t>19.58%</w:t>
            </w:r>
          </w:p>
        </w:tc>
      </w:tr>
      <w:tr w:rsidR="007067EA" w14:paraId="04C8F039" w14:textId="77777777">
        <w:trPr>
          <w:cantSplit/>
          <w:jc w:val="center"/>
        </w:trPr>
        <w:tc>
          <w:tcPr>
            <w:tcW w:w="1361" w:type="dxa"/>
          </w:tcPr>
          <w:p w14:paraId="1A289E85" w14:textId="77777777" w:rsidR="007067EA" w:rsidRDefault="00355612">
            <w:pPr>
              <w:spacing w:before="20" w:after="20" w:line="240" w:lineRule="auto"/>
              <w:jc w:val="center"/>
            </w:pPr>
            <w:r>
              <w:t>样本外</w:t>
            </w:r>
          </w:p>
        </w:tc>
        <w:tc>
          <w:tcPr>
            <w:tcW w:w="1474" w:type="dxa"/>
          </w:tcPr>
          <w:p w14:paraId="2356235E" w14:textId="77777777" w:rsidR="007067EA" w:rsidRDefault="00355612">
            <w:pPr>
              <w:spacing w:before="20" w:after="20" w:line="240" w:lineRule="auto"/>
              <w:jc w:val="center"/>
            </w:pPr>
            <w:r>
              <w:t>-8.44</w:t>
            </w:r>
          </w:p>
        </w:tc>
        <w:tc>
          <w:tcPr>
            <w:tcW w:w="1474" w:type="dxa"/>
          </w:tcPr>
          <w:p w14:paraId="3A9798D4" w14:textId="77777777" w:rsidR="007067EA" w:rsidRDefault="00355612">
            <w:pPr>
              <w:spacing w:before="20" w:after="20" w:line="240" w:lineRule="auto"/>
              <w:jc w:val="center"/>
            </w:pPr>
            <w:r>
              <w:t>—</w:t>
            </w:r>
          </w:p>
        </w:tc>
        <w:tc>
          <w:tcPr>
            <w:tcW w:w="1474" w:type="dxa"/>
          </w:tcPr>
          <w:p w14:paraId="64CEC206" w14:textId="77777777" w:rsidR="007067EA" w:rsidRDefault="00355612">
            <w:pPr>
              <w:spacing w:before="20" w:after="20" w:line="240" w:lineRule="auto"/>
              <w:jc w:val="center"/>
            </w:pPr>
            <w:r>
              <w:t>-0.701</w:t>
            </w:r>
          </w:p>
        </w:tc>
        <w:tc>
          <w:tcPr>
            <w:tcW w:w="3288" w:type="dxa"/>
          </w:tcPr>
          <w:p w14:paraId="6AF6452E" w14:textId="77777777" w:rsidR="007067EA" w:rsidRDefault="00355612">
            <w:pPr>
              <w:spacing w:before="20" w:after="20" w:line="240" w:lineRule="auto"/>
              <w:jc w:val="center"/>
            </w:pPr>
            <w:r>
              <w:t>表现明显衰减</w:t>
            </w:r>
          </w:p>
        </w:tc>
      </w:tr>
    </w:tbl>
    <w:p w14:paraId="2BB46D96" w14:textId="77777777" w:rsidR="007067EA" w:rsidRDefault="007067EA">
      <w:pPr>
        <w:spacing w:after="40"/>
      </w:pPr>
    </w:p>
    <w:p w14:paraId="43DCD3C8" w14:textId="77777777" w:rsidR="007067EA" w:rsidRDefault="00355612">
      <w:pPr>
        <w:jc w:val="center"/>
      </w:pPr>
      <w:r>
        <w:rPr>
          <w:noProof/>
        </w:rPr>
        <w:lastRenderedPageBreak/>
        <w:drawing>
          <wp:inline distT="0" distB="0" distL="0" distR="0" wp14:anchorId="44425A52" wp14:editId="408FE417">
            <wp:extent cx="5400000" cy="34067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ask7.png"/>
                    <pic:cNvPicPr/>
                  </pic:nvPicPr>
                  <pic:blipFill>
                    <a:blip r:embed="rId15"/>
                    <a:stretch>
                      <a:fillRect/>
                    </a:stretch>
                  </pic:blipFill>
                  <pic:spPr>
                    <a:xfrm>
                      <a:off x="0" y="0"/>
                      <a:ext cx="5400000" cy="3406711"/>
                    </a:xfrm>
                    <a:prstGeom prst="rect">
                      <a:avLst/>
                    </a:prstGeom>
                  </pic:spPr>
                </pic:pic>
              </a:graphicData>
            </a:graphic>
          </wp:inline>
        </w:drawing>
      </w:r>
    </w:p>
    <w:p w14:paraId="09B573A8" w14:textId="77777777" w:rsidR="007067EA" w:rsidRDefault="00355612">
      <w:pPr>
        <w:spacing w:before="40" w:after="120"/>
        <w:jc w:val="center"/>
      </w:pPr>
      <w:r>
        <w:t>图</w:t>
      </w:r>
      <w:r>
        <w:t xml:space="preserve">8  </w:t>
      </w:r>
      <w:r>
        <w:t>实战策略长区间与样本外表现对比</w:t>
      </w:r>
    </w:p>
    <w:p w14:paraId="112298E6" w14:textId="77777777" w:rsidR="007067EA" w:rsidRDefault="00355612">
      <w:pPr>
        <w:spacing w:before="80" w:after="80"/>
        <w:outlineLvl w:val="1"/>
      </w:pPr>
      <w:bookmarkStart w:id="11" w:name="_Toc235744213"/>
      <w:r>
        <w:rPr>
          <w:rFonts w:ascii="黑体" w:eastAsia="黑体" w:hAnsi="黑体"/>
          <w:b/>
          <w:sz w:val="28"/>
        </w:rPr>
        <w:t xml:space="preserve">2.5  </w:t>
      </w:r>
      <w:r>
        <w:rPr>
          <w:rFonts w:ascii="黑体" w:eastAsia="黑体" w:hAnsi="黑体"/>
          <w:b/>
          <w:sz w:val="28"/>
        </w:rPr>
        <w:t>不同策略的优缺点、适用场景与市场表现比较</w:t>
      </w:r>
      <w:bookmarkEnd w:id="11"/>
    </w:p>
    <w:p w14:paraId="7750711D" w14:textId="77777777" w:rsidR="007067EA" w:rsidRDefault="00355612">
      <w:pPr>
        <w:ind w:firstLine="420"/>
        <w:jc w:val="both"/>
      </w:pPr>
      <w:r>
        <w:t>综合上述四类策略，可归纳其特性差异。均线交叉策略逻辑透明、实现简单、回撤可控，适合震荡与温和趋势市，但在单边趋势中易频繁假突破；海龟策略趋势捕捉能力强、风险预算清晰，在波动充足的标的上优势明显，但对低波动标的不敏感且交易较频繁；机器学习选股策略信息含量高、可处理非线性，适合截面排序与中低频调仓，但高度依赖特征质量，且对过拟合敏感；实盘模拟策略更贴近真实交易，但受行情阶段与成本影响大，样本外稳定性是核心瓶颈。从市场表现看，择时类策略在下行市中多以</w:t>
      </w:r>
      <w:r>
        <w:t>“</w:t>
      </w:r>
      <w:r>
        <w:t>少亏</w:t>
      </w:r>
      <w:r>
        <w:t>”</w:t>
      </w:r>
      <w:r>
        <w:t>体现价值，而选股类策略在横盘市中更易积累超额收益。</w:t>
      </w:r>
    </w:p>
    <w:p w14:paraId="64106343" w14:textId="77777777" w:rsidR="007067EA" w:rsidRDefault="00355612">
      <w:pPr>
        <w:spacing w:before="80" w:after="80"/>
        <w:outlineLvl w:val="1"/>
      </w:pPr>
      <w:bookmarkStart w:id="12" w:name="_Toc235744214"/>
      <w:r>
        <w:rPr>
          <w:rFonts w:ascii="黑体" w:eastAsia="黑体" w:hAnsi="黑体"/>
          <w:b/>
          <w:sz w:val="28"/>
        </w:rPr>
        <w:t>2.</w:t>
      </w:r>
      <w:r>
        <w:rPr>
          <w:rFonts w:ascii="黑体" w:eastAsia="黑体" w:hAnsi="黑体"/>
          <w:b/>
          <w:sz w:val="28"/>
        </w:rPr>
        <w:t xml:space="preserve">6  </w:t>
      </w:r>
      <w:r>
        <w:rPr>
          <w:rFonts w:ascii="黑体" w:eastAsia="黑体" w:hAnsi="黑体"/>
          <w:b/>
          <w:sz w:val="28"/>
        </w:rPr>
        <w:t>策略关联性与互补性：多策略系统的构建思路</w:t>
      </w:r>
      <w:bookmarkEnd w:id="12"/>
    </w:p>
    <w:p w14:paraId="63BCF9BF" w14:textId="77777777" w:rsidR="007067EA" w:rsidRDefault="00355612">
      <w:pPr>
        <w:ind w:firstLine="420"/>
        <w:jc w:val="both"/>
      </w:pPr>
      <w:r>
        <w:t>四类策略并非彼此孤立，而是存在清晰的互补关系：均线交叉与海龟同属趋势类，可互为参数层面的分散；机器学习选股提供独立于价格趋势的截面</w:t>
      </w:r>
      <w:r>
        <w:t xml:space="preserve"> alpha</w:t>
      </w:r>
      <w:r>
        <w:t>，与择时策略低相关。由此可构建多策略系统：第一，按策略逻辑分池，趋势类与截面类各占一定权重；第二，引入市场状态识别，在趋势市提高突破类策略权重，在震荡市提高选股类权重；第三，在组合层做风险预算与仓位优化，以整体夏普比率为目标而非单一策略收益。该框架将</w:t>
      </w:r>
      <w:r>
        <w:t>“</w:t>
      </w:r>
      <w:r>
        <w:t>单点策略</w:t>
      </w:r>
      <w:r>
        <w:t>”</w:t>
      </w:r>
      <w:r>
        <w:t>升级为</w:t>
      </w:r>
      <w:r>
        <w:t>“</w:t>
      </w:r>
      <w:r>
        <w:t>策略组合</w:t>
      </w:r>
      <w:r>
        <w:t>”</w:t>
      </w:r>
      <w:r>
        <w:t>，是本报告最重要的综合结论之一，亦对应附录</w:t>
      </w:r>
      <w:r>
        <w:t>建议六与建议三。</w:t>
      </w:r>
    </w:p>
    <w:p w14:paraId="63C6109E" w14:textId="77777777" w:rsidR="007067EA" w:rsidRDefault="00355612">
      <w:pPr>
        <w:spacing w:before="120" w:after="80"/>
        <w:outlineLvl w:val="0"/>
      </w:pPr>
      <w:bookmarkStart w:id="13" w:name="_Toc235744215"/>
      <w:r>
        <w:rPr>
          <w:rFonts w:ascii="黑体" w:eastAsia="黑体" w:hAnsi="黑体"/>
          <w:b/>
          <w:sz w:val="32"/>
        </w:rPr>
        <w:t>第三章</w:t>
      </w:r>
      <w:r>
        <w:rPr>
          <w:rFonts w:ascii="黑体" w:eastAsia="黑体" w:hAnsi="黑体"/>
          <w:b/>
          <w:sz w:val="32"/>
        </w:rPr>
        <w:t xml:space="preserve">  </w:t>
      </w:r>
      <w:r>
        <w:rPr>
          <w:rFonts w:ascii="黑体" w:eastAsia="黑体" w:hAnsi="黑体"/>
          <w:b/>
          <w:sz w:val="32"/>
        </w:rPr>
        <w:t>机器学习在量化交易中的应用总结</w:t>
      </w:r>
      <w:bookmarkEnd w:id="13"/>
    </w:p>
    <w:p w14:paraId="40785D62" w14:textId="77777777" w:rsidR="007067EA" w:rsidRDefault="00355612">
      <w:pPr>
        <w:spacing w:before="80" w:after="80"/>
        <w:outlineLvl w:val="1"/>
      </w:pPr>
      <w:bookmarkStart w:id="14" w:name="_Toc235744216"/>
      <w:r>
        <w:rPr>
          <w:rFonts w:ascii="黑体" w:eastAsia="黑体" w:hAnsi="黑体"/>
          <w:b/>
          <w:sz w:val="28"/>
        </w:rPr>
        <w:t xml:space="preserve">3.1  </w:t>
      </w:r>
      <w:r>
        <w:rPr>
          <w:rFonts w:ascii="黑体" w:eastAsia="黑体" w:hAnsi="黑体"/>
          <w:b/>
          <w:sz w:val="28"/>
        </w:rPr>
        <w:t>数据预处理的关键要点</w:t>
      </w:r>
      <w:bookmarkEnd w:id="14"/>
    </w:p>
    <w:p w14:paraId="64A3463A" w14:textId="77777777" w:rsidR="007067EA" w:rsidRDefault="00355612">
      <w:pPr>
        <w:ind w:firstLine="420"/>
        <w:jc w:val="both"/>
      </w:pPr>
      <w:r>
        <w:lastRenderedPageBreak/>
        <w:t>数据预处理是模型成败的前提。实践中需把握三点：其一，金融数据具有严格的时间顺序，必须按时间划分训练与测试集，严禁随机打乱，否则会引入</w:t>
      </w:r>
      <w:r>
        <w:t>“</w:t>
      </w:r>
      <w:r>
        <w:t>未来函数</w:t>
      </w:r>
      <w:r>
        <w:t>”</w:t>
      </w:r>
      <w:r>
        <w:t>导致虚假高收益；其二，复权价应以收益率累积方式构建，规避行情接口限流与字段缺失；其三，截面面板中的缺失值需在前端统一处理（填充或剔除），否则会直接中断模型训练。任务五与任务六均严格遵循时间顺序划分，并将预处理封装为独立模块，提升了可复现性。</w:t>
      </w:r>
    </w:p>
    <w:p w14:paraId="66C9FFCD" w14:textId="77777777" w:rsidR="007067EA" w:rsidRDefault="00355612">
      <w:pPr>
        <w:spacing w:before="80" w:after="80"/>
        <w:outlineLvl w:val="1"/>
      </w:pPr>
      <w:bookmarkStart w:id="15" w:name="_Toc235744217"/>
      <w:r>
        <w:rPr>
          <w:rFonts w:ascii="黑体" w:eastAsia="黑体" w:hAnsi="黑体"/>
          <w:b/>
          <w:sz w:val="28"/>
        </w:rPr>
        <w:t xml:space="preserve">3.2  </w:t>
      </w:r>
      <w:r>
        <w:rPr>
          <w:rFonts w:ascii="黑体" w:eastAsia="黑体" w:hAnsi="黑体"/>
          <w:b/>
          <w:sz w:val="28"/>
        </w:rPr>
        <w:t>特征工程的关键要点</w:t>
      </w:r>
      <w:bookmarkEnd w:id="15"/>
    </w:p>
    <w:p w14:paraId="6E67486A" w14:textId="77777777" w:rsidR="007067EA" w:rsidRDefault="00355612">
      <w:pPr>
        <w:ind w:firstLine="420"/>
        <w:jc w:val="both"/>
      </w:pPr>
      <w:r>
        <w:t>特征决定了模型上限。本报告使用的因子覆盖动量（不同周期收益率）、均线偏离（收盘价与均线的比）、波动（收益率标准差年化）、流动性（成交额与市值比）与技术面（相对强弱）五类共</w:t>
      </w:r>
      <w:r>
        <w:t>12</w:t>
      </w:r>
      <w:r>
        <w:t>个因子。核心经验是：原始技术指标对短期涨跌的预测力有限（任务五股价</w:t>
      </w:r>
      <w:r>
        <w:t xml:space="preserve"> AUC </w:t>
      </w:r>
      <w:r>
        <w:t>低于</w:t>
      </w:r>
      <w:r>
        <w:t>0.5</w:t>
      </w:r>
      <w:r>
        <w:t>），必须引入更丰富的因子维度</w:t>
      </w:r>
      <w:r>
        <w:t>——</w:t>
      </w:r>
      <w:r>
        <w:t>如基本面、资金面、舆情与宏观变量</w:t>
      </w:r>
      <w:r>
        <w:t>——</w:t>
      </w:r>
      <w:r>
        <w:t>才能支撑有效学习（见附录建议四）。同时，特征需做截面标准化以消除量纲差异，并对极端值做合理裁剪。</w:t>
      </w:r>
    </w:p>
    <w:p w14:paraId="0B520EC3" w14:textId="77777777" w:rsidR="007067EA" w:rsidRDefault="00355612">
      <w:pPr>
        <w:spacing w:before="80" w:after="80"/>
        <w:outlineLvl w:val="1"/>
      </w:pPr>
      <w:bookmarkStart w:id="16" w:name="_Toc235744218"/>
      <w:r>
        <w:rPr>
          <w:rFonts w:ascii="黑体" w:eastAsia="黑体" w:hAnsi="黑体"/>
          <w:b/>
          <w:sz w:val="28"/>
        </w:rPr>
        <w:t xml:space="preserve">3.3  </w:t>
      </w:r>
      <w:r>
        <w:rPr>
          <w:rFonts w:ascii="黑体" w:eastAsia="黑体" w:hAnsi="黑体"/>
          <w:b/>
          <w:sz w:val="28"/>
        </w:rPr>
        <w:t>模型选择与训练的关键要点</w:t>
      </w:r>
      <w:bookmarkEnd w:id="16"/>
    </w:p>
    <w:p w14:paraId="660CF2E1" w14:textId="77777777" w:rsidR="007067EA" w:rsidRDefault="00355612">
      <w:pPr>
        <w:ind w:firstLine="420"/>
        <w:jc w:val="both"/>
      </w:pPr>
      <w:r>
        <w:t>模型选择应匹配问题结构。二分类可选用逻辑回归、决策</w:t>
      </w:r>
      <w:r>
        <w:t>树、随机森林与近邻等可解释模型作为基线；收益率预测与排序宜用回归或梯度提升模型。训练时须固定随机种子以保证可复现，并以交叉验证而非单次切分评估稳定性。本报告在截面选股中对比了线性、树与梯度提升三类，最终极端梯度提升因正则化与集成优势取得最佳样本外表现，说明在非线性截面关系中，具备正则化的集成模型通常优于简单线性与单树模型。</w:t>
      </w:r>
    </w:p>
    <w:p w14:paraId="19CE89BE" w14:textId="77777777" w:rsidR="007067EA" w:rsidRDefault="00355612">
      <w:pPr>
        <w:spacing w:before="80" w:after="80"/>
        <w:outlineLvl w:val="1"/>
      </w:pPr>
      <w:bookmarkStart w:id="17" w:name="_Toc235744219"/>
      <w:r>
        <w:rPr>
          <w:rFonts w:ascii="黑体" w:eastAsia="黑体" w:hAnsi="黑体"/>
          <w:b/>
          <w:sz w:val="28"/>
        </w:rPr>
        <w:t xml:space="preserve">3.4  </w:t>
      </w:r>
      <w:r>
        <w:rPr>
          <w:rFonts w:ascii="黑体" w:eastAsia="黑体" w:hAnsi="黑体"/>
          <w:b/>
          <w:sz w:val="28"/>
        </w:rPr>
        <w:t>模型评估与优化的关键要点</w:t>
      </w:r>
      <w:bookmarkEnd w:id="17"/>
    </w:p>
    <w:p w14:paraId="2386F5FF" w14:textId="77777777" w:rsidR="007067EA" w:rsidRDefault="00355612">
      <w:pPr>
        <w:ind w:firstLine="420"/>
        <w:jc w:val="both"/>
      </w:pPr>
      <w:r>
        <w:t>评估不能停留于准确率。对分类问题应综合混淆矩阵、精确率、召回率、</w:t>
      </w:r>
      <w:r>
        <w:t>F1</w:t>
      </w:r>
      <w:r>
        <w:t>与</w:t>
      </w:r>
      <w:r>
        <w:t>AUC</w:t>
      </w:r>
      <w:r>
        <w:t>；对选股问题应以信息系数、夏普比率、最大回撤与胜基准率为核心。优化方向包括</w:t>
      </w:r>
      <w:r>
        <w:t>：超参数搜索、特征筛选、模型集成与堆叠，以及最关键的是以样本外与滚动窗口验证抑制过拟合（附录建议一）。任务六中极端梯度提升是唯一信息系数为正的模型，正是评估视角从</w:t>
      </w:r>
      <w:r>
        <w:t>“</w:t>
      </w:r>
      <w:r>
        <w:t>准确率</w:t>
      </w:r>
      <w:r>
        <w:t>”</w:t>
      </w:r>
      <w:r>
        <w:t>转向</w:t>
      </w:r>
      <w:r>
        <w:t>“</w:t>
      </w:r>
      <w:r>
        <w:t>排序能力</w:t>
      </w:r>
      <w:r>
        <w:t>”</w:t>
      </w:r>
      <w:r>
        <w:t>后得到的更有意义结论。</w:t>
      </w:r>
    </w:p>
    <w:p w14:paraId="0B98056A" w14:textId="77777777" w:rsidR="007067EA" w:rsidRDefault="00355612">
      <w:pPr>
        <w:spacing w:before="80" w:after="80"/>
        <w:outlineLvl w:val="1"/>
      </w:pPr>
      <w:bookmarkStart w:id="18" w:name="_Toc235744220"/>
      <w:r>
        <w:rPr>
          <w:rFonts w:ascii="黑体" w:eastAsia="黑体" w:hAnsi="黑体"/>
          <w:b/>
          <w:sz w:val="28"/>
        </w:rPr>
        <w:t xml:space="preserve">3.5  </w:t>
      </w:r>
      <w:r>
        <w:rPr>
          <w:rFonts w:ascii="黑体" w:eastAsia="黑体" w:hAnsi="黑体"/>
          <w:b/>
          <w:sz w:val="28"/>
        </w:rPr>
        <w:t>优势、局限与未来趋势</w:t>
      </w:r>
      <w:bookmarkEnd w:id="18"/>
    </w:p>
    <w:p w14:paraId="62147BD0" w14:textId="77777777" w:rsidR="007067EA" w:rsidRDefault="00355612">
      <w:pPr>
        <w:ind w:firstLine="420"/>
        <w:jc w:val="both"/>
      </w:pPr>
      <w:r>
        <w:t>机器学习的核心优势在于自动挖掘非线性与高维规律、处理海量数据并持续迭代；其局限同样突出：金融数据信噪比低、分布易变，模型易过拟合且可解释性弱，直接预测价格短期方向往往失效。展望未来，三个方向值得投入：一是引入深度学习（序列模型与时序注意力机制）刻画价格动态；二是以</w:t>
      </w:r>
      <w:r>
        <w:t>“</w:t>
      </w:r>
      <w:r>
        <w:t>因</w:t>
      </w:r>
      <w:r>
        <w:t>子</w:t>
      </w:r>
      <w:r>
        <w:t>+</w:t>
      </w:r>
      <w:r>
        <w:t>模型</w:t>
      </w:r>
      <w:r>
        <w:t>+</w:t>
      </w:r>
      <w:r>
        <w:t>组合</w:t>
      </w:r>
      <w:r>
        <w:t>”</w:t>
      </w:r>
      <w:r>
        <w:t>三段式框架替代端到端黑箱；三是将机器学习输出作为多策略系统中的一个</w:t>
      </w:r>
      <w:r>
        <w:t xml:space="preserve"> alpha </w:t>
      </w:r>
      <w:r>
        <w:t>源，而非孤立决策。（相关路线见附录建议四、建议五。）</w:t>
      </w:r>
    </w:p>
    <w:p w14:paraId="46DEBF44" w14:textId="77777777" w:rsidR="007067EA" w:rsidRDefault="00355612">
      <w:pPr>
        <w:spacing w:before="120" w:after="80"/>
        <w:outlineLvl w:val="0"/>
      </w:pPr>
      <w:bookmarkStart w:id="19" w:name="_Toc235744221"/>
      <w:r>
        <w:rPr>
          <w:rFonts w:ascii="黑体" w:eastAsia="黑体" w:hAnsi="黑体"/>
          <w:b/>
          <w:sz w:val="32"/>
        </w:rPr>
        <w:t>第四章</w:t>
      </w:r>
      <w:r>
        <w:rPr>
          <w:rFonts w:ascii="黑体" w:eastAsia="黑体" w:hAnsi="黑体"/>
          <w:b/>
          <w:sz w:val="32"/>
        </w:rPr>
        <w:t xml:space="preserve">  </w:t>
      </w:r>
      <w:r>
        <w:rPr>
          <w:rFonts w:ascii="黑体" w:eastAsia="黑体" w:hAnsi="黑体"/>
          <w:b/>
          <w:sz w:val="32"/>
        </w:rPr>
        <w:t>结论与展望</w:t>
      </w:r>
      <w:bookmarkEnd w:id="19"/>
    </w:p>
    <w:p w14:paraId="6A5C7256" w14:textId="77777777" w:rsidR="007067EA" w:rsidRDefault="00355612">
      <w:pPr>
        <w:spacing w:before="80" w:after="80"/>
        <w:outlineLvl w:val="1"/>
      </w:pPr>
      <w:bookmarkStart w:id="20" w:name="_Toc235744222"/>
      <w:r>
        <w:rPr>
          <w:rFonts w:ascii="黑体" w:eastAsia="黑体" w:hAnsi="黑体"/>
          <w:b/>
          <w:sz w:val="28"/>
        </w:rPr>
        <w:lastRenderedPageBreak/>
        <w:t xml:space="preserve">4.1  </w:t>
      </w:r>
      <w:r>
        <w:rPr>
          <w:rFonts w:ascii="黑体" w:eastAsia="黑体" w:hAnsi="黑体"/>
          <w:b/>
          <w:sz w:val="28"/>
        </w:rPr>
        <w:t>主要收获与体会</w:t>
      </w:r>
      <w:bookmarkEnd w:id="20"/>
    </w:p>
    <w:p w14:paraId="779B36E3" w14:textId="77777777" w:rsidR="007067EA" w:rsidRDefault="00355612">
      <w:pPr>
        <w:ind w:firstLine="420"/>
        <w:jc w:val="both"/>
      </w:pPr>
      <w:r>
        <w:t>通过前七项任务的递进式学习，本人在三方面获得实质性提升。其一是认知层面：从</w:t>
      </w:r>
      <w:r>
        <w:t>“</w:t>
      </w:r>
      <w:r>
        <w:t>量化即写公式</w:t>
      </w:r>
      <w:r>
        <w:t>”</w:t>
      </w:r>
      <w:r>
        <w:t>深化为对策略逻辑、风险来源与评估体系的系统理解，认识到</w:t>
      </w:r>
      <w:r>
        <w:t>“</w:t>
      </w:r>
      <w:r>
        <w:t>相对基准的超额收益</w:t>
      </w:r>
      <w:r>
        <w:t>”</w:t>
      </w:r>
      <w:r>
        <w:t>比绝对收益更能反映策略价值。其二是技术层面：掌握了从数据获取、指标构造、回测引擎、机器学习建模到平台部署的完整工具链，并养成了模块化、可复现的工程习</w:t>
      </w:r>
      <w:r>
        <w:t>惯（任务三的重构、任务四的配色统一即为例证）。其三是实践层面：亲历了样本外衰减、过拟合与执行成本等真实挑战，体会到量化交易</w:t>
      </w:r>
      <w:r>
        <w:t>“</w:t>
      </w:r>
      <w:r>
        <w:t>知易行难</w:t>
      </w:r>
      <w:r>
        <w:t>”</w:t>
      </w:r>
      <w:r>
        <w:t>的严谨性。</w:t>
      </w:r>
    </w:p>
    <w:p w14:paraId="1895A704" w14:textId="77777777" w:rsidR="007067EA" w:rsidRDefault="00355612">
      <w:pPr>
        <w:spacing w:before="80" w:after="80"/>
        <w:outlineLvl w:val="1"/>
      </w:pPr>
      <w:bookmarkStart w:id="21" w:name="_Toc235744223"/>
      <w:r>
        <w:rPr>
          <w:rFonts w:ascii="黑体" w:eastAsia="黑体" w:hAnsi="黑体"/>
          <w:b/>
          <w:sz w:val="28"/>
        </w:rPr>
        <w:t xml:space="preserve">4.2  </w:t>
      </w:r>
      <w:r>
        <w:rPr>
          <w:rFonts w:ascii="黑体" w:eastAsia="黑体" w:hAnsi="黑体"/>
          <w:b/>
          <w:sz w:val="28"/>
        </w:rPr>
        <w:t>未来学习与研究方向展望</w:t>
      </w:r>
      <w:bookmarkEnd w:id="21"/>
    </w:p>
    <w:p w14:paraId="4035045E" w14:textId="77777777" w:rsidR="007067EA" w:rsidRDefault="00355612">
      <w:pPr>
        <w:ind w:firstLine="420"/>
        <w:jc w:val="both"/>
      </w:pPr>
      <w:r>
        <w:t>面向未来，研究将沿以下路径深化。第一，补强验证方法：以滚动窗口与样本外检验替代单次回测，从源头抑制过拟合（附录建议一）。第二，拓展数据维度：纳入基本面、资金面与另类数据，突破单一技术指标的瓶颈（附录建议四）。第三，完善组合与风控：在选股之外引入仓位优化、止损与行业中性，降低尾部风险（附录建议三）。第四，探索先进模型：尝试序列模型与</w:t>
      </w:r>
      <w:r>
        <w:t>模型堆叠，捕捉非线性时序（附录建议五）。第五，构建多策略配置框架：按市场状态动态分配权重，实现策略间互补（附录建议六）。第六，做实执行层：在模拟盘中计入滑点与手续费压力测试，为真正实盘打下基础（附录建议七）。通过上述努力，期望由</w:t>
      </w:r>
      <w:r>
        <w:t>“</w:t>
      </w:r>
      <w:r>
        <w:t>会做策略</w:t>
      </w:r>
      <w:r>
        <w:t>”</w:t>
      </w:r>
      <w:r>
        <w:t>走向</w:t>
      </w:r>
      <w:r>
        <w:t>“</w:t>
      </w:r>
      <w:r>
        <w:t>做对策略</w:t>
      </w:r>
      <w:r>
        <w:t>”</w:t>
      </w:r>
      <w:r>
        <w:t>。</w:t>
      </w:r>
    </w:p>
    <w:p w14:paraId="4CF561AA" w14:textId="77777777" w:rsidR="007067EA" w:rsidRDefault="00355612">
      <w:pPr>
        <w:spacing w:before="120" w:after="80"/>
        <w:outlineLvl w:val="0"/>
      </w:pPr>
      <w:bookmarkStart w:id="22" w:name="_Toc235744224"/>
      <w:r>
        <w:rPr>
          <w:rFonts w:ascii="黑体" w:eastAsia="黑体" w:hAnsi="黑体"/>
          <w:b/>
          <w:sz w:val="32"/>
        </w:rPr>
        <w:t>附录</w:t>
      </w:r>
      <w:r>
        <w:rPr>
          <w:rFonts w:ascii="黑体" w:eastAsia="黑体" w:hAnsi="黑体"/>
          <w:b/>
          <w:sz w:val="32"/>
        </w:rPr>
        <w:t xml:space="preserve">  </w:t>
      </w:r>
      <w:r>
        <w:rPr>
          <w:rFonts w:ascii="黑体" w:eastAsia="黑体" w:hAnsi="黑体"/>
          <w:b/>
          <w:sz w:val="32"/>
        </w:rPr>
        <w:t>针对性改进建议</w:t>
      </w:r>
      <w:bookmarkEnd w:id="22"/>
    </w:p>
    <w:p w14:paraId="7CB09696" w14:textId="77777777" w:rsidR="007067EA" w:rsidRDefault="00355612">
      <w:pPr>
        <w:jc w:val="both"/>
      </w:pPr>
      <w:r>
        <w:t>以下建议基于前七项任务的复盘与导师反馈整理，正文中已按编号引用。</w:t>
      </w:r>
    </w:p>
    <w:p w14:paraId="1D8E04E9" w14:textId="77777777" w:rsidR="007067EA" w:rsidRDefault="00355612">
      <w:pPr>
        <w:spacing w:before="80"/>
        <w:ind w:firstLine="420"/>
      </w:pPr>
      <w:r>
        <w:rPr>
          <w:b/>
        </w:rPr>
        <w:t>建议一（验证方法）：</w:t>
      </w:r>
      <w:r>
        <w:t>以滚动窗口回测与严格样本外检验替代单次历史回测，对多参数策略（如任务三、任务四）增加参数稳定性分析，从源头抑制过拟合与样本内最优陷阱。</w:t>
      </w:r>
    </w:p>
    <w:p w14:paraId="6C5F2167" w14:textId="77777777" w:rsidR="007067EA" w:rsidRDefault="00355612">
      <w:pPr>
        <w:spacing w:before="80"/>
        <w:ind w:firstLine="420"/>
      </w:pPr>
      <w:r>
        <w:rPr>
          <w:b/>
        </w:rPr>
        <w:t>建议二</w:t>
      </w:r>
      <w:r>
        <w:rPr>
          <w:b/>
        </w:rPr>
        <w:t>（数据广度）：</w:t>
      </w:r>
      <w:r>
        <w:t>将回测标的由三只个股扩展为更宽泛的股票池与更长历史区间，降低单一标的与特定行情阶段带来的结论偏差（任务七样本外大幅衰减即为例证）。</w:t>
      </w:r>
    </w:p>
    <w:p w14:paraId="1891668E" w14:textId="77777777" w:rsidR="007067EA" w:rsidRDefault="00355612">
      <w:pPr>
        <w:spacing w:before="80"/>
        <w:ind w:firstLine="420"/>
      </w:pPr>
      <w:r>
        <w:rPr>
          <w:b/>
        </w:rPr>
        <w:t>建议三（组合与风控）：</w:t>
      </w:r>
      <w:r>
        <w:t>在选股信号之外引入组合层优化：仓位管理、止损纪律、行业中性与最大回撤约束，使策略从</w:t>
      </w:r>
      <w:r>
        <w:t>“</w:t>
      </w:r>
      <w:r>
        <w:t>选得准</w:t>
      </w:r>
      <w:r>
        <w:t>”</w:t>
      </w:r>
      <w:r>
        <w:t>升级为</w:t>
      </w:r>
      <w:r>
        <w:t>“</w:t>
      </w:r>
      <w:r>
        <w:t>控得住</w:t>
      </w:r>
      <w:r>
        <w:t>”</w:t>
      </w:r>
      <w:r>
        <w:t>（任务六回撤仍达</w:t>
      </w:r>
      <w:r>
        <w:t>-16%</w:t>
      </w:r>
      <w:r>
        <w:t>）。</w:t>
      </w:r>
    </w:p>
    <w:p w14:paraId="1D180C10" w14:textId="77777777" w:rsidR="007067EA" w:rsidRDefault="00355612">
      <w:pPr>
        <w:spacing w:before="80"/>
        <w:ind w:firstLine="420"/>
      </w:pPr>
      <w:r>
        <w:rPr>
          <w:b/>
        </w:rPr>
        <w:t>建议四（特征升级）：</w:t>
      </w:r>
      <w:r>
        <w:t>突破单一技术指标，纳入基本面、资金面、估值与另类（舆情</w:t>
      </w:r>
      <w:r>
        <w:t>/</w:t>
      </w:r>
      <w:r>
        <w:t>宏观）因子，提升特征信息含量，直指任务五股价预测判别力不足的根因。</w:t>
      </w:r>
    </w:p>
    <w:p w14:paraId="3E937750" w14:textId="77777777" w:rsidR="007067EA" w:rsidRDefault="00355612">
      <w:pPr>
        <w:spacing w:before="80"/>
        <w:ind w:firstLine="420"/>
      </w:pPr>
      <w:r>
        <w:rPr>
          <w:b/>
        </w:rPr>
        <w:t>建议五（模型进阶）：</w:t>
      </w:r>
      <w:r>
        <w:t>在树模型基础上尝试序列模型与模型堆叠，捕捉价格序列中的非线性与长期依赖，提升截面与时序预测能力。</w:t>
      </w:r>
    </w:p>
    <w:p w14:paraId="3A550610" w14:textId="77777777" w:rsidR="007067EA" w:rsidRDefault="00355612">
      <w:pPr>
        <w:spacing w:before="80"/>
        <w:ind w:firstLine="420"/>
      </w:pPr>
      <w:r>
        <w:rPr>
          <w:b/>
        </w:rPr>
        <w:t>建议六（多策略配置）：</w:t>
      </w:r>
      <w:r>
        <w:t>构建趋势类与截面类并行的多策略框架，按市场状态动态分配权重，以整体夏普比率为目标实现策略互补（呼应第二章</w:t>
      </w:r>
      <w:r>
        <w:t>2.6</w:t>
      </w:r>
      <w:r>
        <w:t>节）。</w:t>
      </w:r>
    </w:p>
    <w:p w14:paraId="6AD67105" w14:textId="77777777" w:rsidR="007067EA" w:rsidRDefault="00355612">
      <w:pPr>
        <w:spacing w:before="80"/>
        <w:ind w:firstLine="420"/>
      </w:pPr>
      <w:r>
        <w:rPr>
          <w:b/>
        </w:rPr>
        <w:lastRenderedPageBreak/>
        <w:t>建议七（执行落地）：</w:t>
      </w:r>
      <w:r>
        <w:t>在实盘模拟中完整计入滑点、手续费与冲击成本，开展压力测试与模拟盘长跑，缩小研究与实盘的鸿沟（任务七尚未充分实盘）。</w:t>
      </w:r>
    </w:p>
    <w:p w14:paraId="3FBACB85" w14:textId="77777777" w:rsidR="007067EA" w:rsidRDefault="00355612">
      <w:pPr>
        <w:spacing w:before="80"/>
        <w:ind w:firstLine="420"/>
      </w:pPr>
      <w:r>
        <w:rPr>
          <w:b/>
        </w:rPr>
        <w:t>建议八（工程规范）：</w:t>
      </w:r>
      <w:r>
        <w:t>统一数据、指标与评价的回测框架与代码规范，沉淀可复用的模块库，提升后续研究的效率与可复现性（延续任务三模块化、任务四配</w:t>
      </w:r>
      <w:r>
        <w:t>色统一经验）。</w:t>
      </w:r>
    </w:p>
    <w:sectPr w:rsidR="007067EA" w:rsidSect="00034616">
      <w:footerReference w:type="default" r:id="rId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A3BC8" w14:textId="77777777" w:rsidR="00000000" w:rsidRDefault="00355612">
      <w:pPr>
        <w:spacing w:line="240" w:lineRule="auto"/>
      </w:pPr>
      <w:r>
        <w:separator/>
      </w:r>
    </w:p>
  </w:endnote>
  <w:endnote w:type="continuationSeparator" w:id="0">
    <w:p w14:paraId="463C6F82" w14:textId="77777777" w:rsidR="00000000" w:rsidRDefault="003556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DC439" w14:textId="77777777" w:rsidR="007067EA" w:rsidRDefault="00355612">
    <w:pPr>
      <w:pStyle w:val="a7"/>
      <w:jc w:val="center"/>
    </w:pPr>
    <w:r>
      <w:rPr>
        <w:sz w:val="18"/>
      </w:rPr>
      <w:fldChar w:fldCharType="begin"/>
    </w:r>
    <w:r>
      <w:rPr>
        <w:sz w:val="18"/>
      </w:rPr>
      <w:instrText>PAGE</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E1A33" w14:textId="77777777" w:rsidR="00000000" w:rsidRDefault="00355612">
      <w:pPr>
        <w:spacing w:line="240" w:lineRule="auto"/>
      </w:pPr>
      <w:r>
        <w:separator/>
      </w:r>
    </w:p>
  </w:footnote>
  <w:footnote w:type="continuationSeparator" w:id="0">
    <w:p w14:paraId="141DA708" w14:textId="77777777" w:rsidR="00000000" w:rsidRDefault="003556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612"/>
    <w:rsid w:val="007067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443FC7F"/>
  <w14:defaultImageDpi w14:val="300"/>
  <w15:docId w15:val="{A93B6322-EDE3-41BA-887E-288A536F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55612"/>
  </w:style>
  <w:style w:type="paragraph" w:styleId="TOC2">
    <w:name w:val="toc 2"/>
    <w:basedOn w:val="a1"/>
    <w:next w:val="a1"/>
    <w:autoRedefine/>
    <w:uiPriority w:val="39"/>
    <w:unhideWhenUsed/>
    <w:rsid w:val="00355612"/>
    <w:pPr>
      <w:ind w:leftChars="200" w:left="420"/>
    </w:pPr>
  </w:style>
  <w:style w:type="character" w:styleId="aff9">
    <w:name w:val="Hyperlink"/>
    <w:basedOn w:val="a2"/>
    <w:uiPriority w:val="99"/>
    <w:unhideWhenUsed/>
    <w:rsid w:val="003556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14996-7E35-4A16-BBED-2DAF951C2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cp:lastPrinted>2026-07-23T16:09:00Z</cp:lastPrinted>
  <dcterms:created xsi:type="dcterms:W3CDTF">2013-12-23T23:15:00Z</dcterms:created>
  <dcterms:modified xsi:type="dcterms:W3CDTF">2026-07-23T16:09:00Z</dcterms:modified>
  <cp:category/>
</cp:coreProperties>
</file>