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32"/>
        </w:rPr>
        <w:t>策略首秀：生产级双均线量化交易系统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28"/>
        </w:rPr>
        <w:t>TASK3 作业报告（生产级回测框架）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sz w:val="21"/>
        </w:rPr>
        <w:t>姓名：林富强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一、交易策略四要素设计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一个可落地的量化交易策略，绝非简单的"金叉买、死叉卖"。真正的生产级策略必须同时回答四个问题：什么情况下买入？什么情况下卖出？每次投入多少资金？如何控制亏损？这四个问题分别对应入场规则、出场规则、仓位管理和风险控制。本报告围绕长江电力（600900.SH）近一年日线数据，构建了一套可配置、可扩展、可回测验证的生产级双均线交易系统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1.1 入场规则：明确、可量化、可回测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好的入场规则必须具备三个特征：条件明确、可量化、可用历史数据回测。相比"感觉股票要涨了就买入"这类主观判断，本系统采用"5日均线上穿20日均线，且RSI低于70、成交量放量"作为入场条件。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具体规则如下：（1）均线金叉：当日MA5大于MA20，且前一日MA5小于或等于MA20；（2）RSI过滤：14日RSI小于70，避免在超买区域追买；（3）成交量过滤：当日成交量不低于20日成交量的均值，确认资金关注度。只有三个条件同时满足，才触发买入信号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此外，系统还预留了趋势强度过滤（收盘价位于长均线上方）等扩展条件，便于后续根据标的特性进一步打磨。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1.2 出场规则：止盈、止损、信号、时间四位一体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出场比入场更重要，它直接决定盈亏。本系统同时实现了四种出场规则，任一条件触发即执行卖出：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1）止盈出场：当浮动收益达到10%时，锁定利润；（2）止损出场：当浮动亏损达到5%时，截断亏损；（3）信号出场：当MA5下穿MA20形成死叉时，跟随趋势反转离场；（4）时间出场：持仓超过20个交易日，无论盈亏均强制离场，避免长期套牢和资金占用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四种出场规则相互补充：止盈保护利润，止损控制单笔风险，信号出场跟随趋势，时间出场防止死扛。从回测结果看，长江电力基准策略4次交易中，3次由死叉信号出场，1次由时间出场触发，未触碰到止盈或止损，说明该阶段价格以窄幅震荡为主，波动未达预设阈值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1.3 仓位管理：四种模式可切换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仓位管理决定最大亏损，而非最大收益。本系统支持四种仓位管理模式，可根据策略风险偏好和标的特性灵活切换：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1）固定金额模式：每次买入固定金额（如1万元），简单直观，适合初学者；（2）固定比例模式：每次投入总资金的固定比例（如25%），风险敞口稳定；（3）凯利公式模式：根据历史胜率和盈亏比动态调整仓位，采用半凯利（Half-Kelly）以降低参数敏感性；（4）风险平价模式：根据ATR波动率调整仓位，波动大时减仓，波动小时加仓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默认采用半凯利公式。在交易记录不足5笔时，使用25%默认仓位；历史交易足够后，按 f = 0.5 × (W - (1-W)/R) 计算，其中W为胜率，R为盈亏比。仓位被严格限制在5%至50%之间，避免极端仓位。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1.4 风险控制：单笔、总仓位、回撤、分散化四层防线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风险控制是策略生存的生命线。本系统设置四层防线：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1）单笔止损：单次交易最大亏损不超过总资金的2%，通过仓位与止损幅度的联动控制；（2）总仓位控制：任何时刻总持仓不超过资金的80%，保留流动性；（3）最大回撤控制：当累计回撤超过20%或单日亏损超过5%时，暂停新开仓，防止情绪化和连续亏损；（4）分散化：本框架可扩展至多个标的，避免把所有资金押注单一股票。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二、量化策略绩效评估指标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评价交易策略必须综合收益、风险、交易质量等多维度指标。本系统计算七大核心指标，并额外补充索提诺比率、年化波动率、Calmar比率等。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2.1 收益类指标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总收益率表示回测期间组合净值相对于初始资金的总变化。年化收益率将总收益率按交易日数折算为一年期收益，便于跨期限比较。超额收益衡量策略相对买入持有的额外收益，是判断主动交易是否创造价值的关键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2.2 风险类指标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最大回撤（MDD）定义为组合净值从历史最高点到后续最低点的最大跌幅，是衡量极端风险的核心指标。年化波动率反映策略收益的波动程度，波动越低，持有体验越稳定。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2.3 交易质量类指标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胜率指盈利交易次数占总交易次数的比例，反映策略发出正确信号的概率。盈亏比指平均盈利幅度与平均亏损幅度的比值，盈亏比大于1意味着即使胜率不高，策略仍可能通过"让利润奔跑、截断亏损"获利。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2.4 综合类指标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夏普比率衡量每承担一单位风险所获得的超额收益，无风险利率取2%。索提诺比率只考虑下行波动，更适合评估策略的亏损风险。Calmar比率是年化收益率与最大回撤绝对值的比值，将收益与极端风险直接挂钩。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三、真实交易成本模型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生产级回测必须纳入真实交易成本。本系统采用的成本模型包括：滑点0.1%（买卖均影响）、佣金0.03%（最低5元，买卖均收取）、印花税0.05%（仅卖出收取）。实际买入价 = 收盘价 × (1 + 滑点)，实际卖出价 = 收盘价 × (1 - 滑点)。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在长江电力MA5/MA20基准策略中，共完成4次交易，总交易成本为179.50元，占初始资金约0.18%。虽然单次成本不大，但在高换手策略中，成本对收益的侵蚀会显著放大。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四、Python编程实现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4.1 技术指标计算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系统首先计算移动平均线、RSI、成交量均线、ATR和波动率。其中RSI用于过滤超买，成交量用于确认信号质量，ATR用于风险平价仓位。核心代码如下：</w:t>
      </w:r>
    </w:p>
    <w:p>
      <w:pPr>
        <w:spacing w:line="360" w:lineRule="auto" w:before="0" w:after="0"/>
        <w:ind w:firstLine="0" w:left="420"/>
        <w:jc w:val="left"/>
      </w:pPr>
      <w:r>
        <w:rPr>
          <w:rFonts w:ascii="Consolas" w:hAnsi="Consolas" w:eastAsia="宋体"/>
          <w:sz w:val="18"/>
        </w:rPr>
        <w:t>df['MA5'] = df['close'].rolling(window=5, min_periods=5).mean()</w:t>
        <w:br/>
        <w:t>df['MA20'] = df['close'].rolling(window=20, min_periods=20).mean()</w:t>
        <w:br/>
        <w:t>df['RSI'] = calc_rsi(df['close'], 14)</w:t>
        <w:br/>
        <w:t>df['vol_ma'] = df['vol'].rolling(window=20, min_periods=20).mean()</w:t>
        <w:br/>
        <w:t>df['ATR'] = calc_atr(df, 14)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4.2 入场信号生成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入场信号通过多条件过滤生成，只有金叉、RSI未超买、成交量放量三个条件同时满足时才触发。代码如下：</w:t>
      </w:r>
    </w:p>
    <w:p>
      <w:pPr>
        <w:spacing w:line="360" w:lineRule="auto" w:before="0" w:after="0"/>
        <w:ind w:firstLine="0" w:left="420"/>
        <w:jc w:val="left"/>
      </w:pPr>
      <w:r>
        <w:rPr>
          <w:rFonts w:ascii="Consolas" w:hAnsi="Consolas" w:eastAsia="宋体"/>
          <w:sz w:val="18"/>
        </w:rPr>
        <w:t>golden_cross = (df['ma_diff'] &gt; 0) &amp; (df['ma_diff'].shift(1) &lt;= 0)</w:t>
        <w:br/>
        <w:t>filters = golden_cross</w:t>
        <w:br/>
        <w:t>filters &amp;= (df['RSI'] &lt; 70)</w:t>
        <w:br/>
        <w:t>filters &amp;= (df['vol'] &gt;= df['vol_ma'])</w:t>
        <w:br/>
        <w:t>df.loc[filters, 'signal'] = 1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4.3 交易信号可视化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将收盘价、MA5、MA20绘制在同一图中，用红色上三角标记买入信号，绿色下三角标记卖出信号。</w:t>
      </w: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12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1"/>
        </w:rPr>
        <w:t>图1  双均线策略（MA5/MA20）交易信号图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图1中，黑色实线为收盘价，红色为MA5，蓝色为MA20。由于入场加入了RSI和成交量过滤，实际买入信号数量少于单纯金叉点；出场则由止盈、止损、死叉、时间四个规则共同决定，图中绿色下三角标记了触发卖出信号的交易日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4.4 模拟回测与净值走势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回测以10万元初始资金开始，遵循上述入场、出场、仓位和风控规则，每日计算组合价值，并与买入持有策略对比。</w:t>
      </w: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059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5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1"/>
        </w:rPr>
        <w:t>图2  策略回测净值曲线（MA5/MA20）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图2展示了双均线策略与买入持有的净值对比。回测期间策略最终价值为99,114.80元，总收益率-0.89%，买入持有收益率为-6.1%，超额收益为5.21%。在整体下跌的市场中，策略通过及时离场和仓位控制，显著跑赢了买入持有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4.5 最大回撤与出场原因分析</w:t>
      </w: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028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1"/>
        </w:rPr>
        <w:t>图3  策略最大回撤（MDD）分析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图3展示了策略每日回撤幅度。回测期间最大回撤为-1.78%，由于仓位管理和止损规则的存在，回撤被控制在极低水平。</w:t>
      </w: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47153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it_reas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15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1"/>
        </w:rPr>
        <w:t>图4  出场原因分布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图4显示，4次交易中，3次由死叉信号触发，0次止盈，0次止损，1次时间出场。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4.6 绩效指标雷达图</w:t>
      </w: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43837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_ra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83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1"/>
        </w:rPr>
        <w:t>图5  策略绩效雷达图（归一化）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图5将总收益、年化收益、夏普、胜率、盈亏比、Calmar六大指标归一化展示。由于市场整体下跌，收益类指标偏向内侧，但风险控制指标表现较好。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4.7 核心指标汇总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指标</w:t>
            </w:r>
          </w:p>
        </w:tc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初始资金</w:t>
            </w:r>
          </w:p>
        </w:tc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100,000 元</w:t>
            </w:r>
          </w:p>
        </w:tc>
      </w:tr>
      <w:tr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最终组合价值</w:t>
            </w:r>
          </w:p>
        </w:tc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99,114.80 元</w:t>
            </w:r>
          </w:p>
        </w:tc>
      </w:tr>
      <w:tr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总收益率</w:t>
            </w:r>
          </w:p>
        </w:tc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-0.89%</w:t>
            </w:r>
          </w:p>
        </w:tc>
      </w:tr>
      <w:tr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年化收益率</w:t>
            </w:r>
          </w:p>
        </w:tc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-1.0%</w:t>
            </w:r>
          </w:p>
        </w:tc>
      </w:tr>
      <w:tr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买入持有收益率</w:t>
            </w:r>
          </w:p>
        </w:tc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-6.1%</w:t>
            </w:r>
          </w:p>
        </w:tc>
      </w:tr>
      <w:tr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超额收益</w:t>
            </w:r>
          </w:p>
        </w:tc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5.21%</w:t>
            </w:r>
          </w:p>
        </w:tc>
      </w:tr>
      <w:tr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最大回撤</w:t>
            </w:r>
          </w:p>
        </w:tc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-1.78%</w:t>
            </w:r>
          </w:p>
        </w:tc>
      </w:tr>
      <w:tr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年化波动率</w:t>
            </w:r>
          </w:p>
        </w:tc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1.66%</w:t>
            </w:r>
          </w:p>
        </w:tc>
      </w:tr>
      <w:tr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夏普比率</w:t>
            </w:r>
          </w:p>
        </w:tc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-1.801</w:t>
            </w:r>
          </w:p>
        </w:tc>
      </w:tr>
      <w:tr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索提诺比率</w:t>
            </w:r>
          </w:p>
        </w:tc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-1.478</w:t>
            </w:r>
          </w:p>
        </w:tc>
      </w:tr>
      <w:tr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Calmar 比率</w:t>
            </w:r>
          </w:p>
        </w:tc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-0.563</w:t>
            </w:r>
          </w:p>
        </w:tc>
      </w:tr>
      <w:tr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胜率</w:t>
            </w:r>
          </w:p>
        </w:tc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50.0%</w:t>
            </w:r>
          </w:p>
        </w:tc>
      </w:tr>
      <w:tr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盈亏比</w:t>
            </w:r>
          </w:p>
        </w:tc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0.477</w:t>
            </w:r>
          </w:p>
        </w:tc>
      </w:tr>
      <w:tr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交易次数</w:t>
            </w:r>
          </w:p>
        </w:tc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 次</w:t>
            </w:r>
          </w:p>
        </w:tc>
      </w:tr>
      <w:tr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平均持仓天数</w:t>
            </w:r>
          </w:p>
        </w:tc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17.0 天</w:t>
            </w:r>
          </w:p>
        </w:tc>
      </w:tr>
      <w:tr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总交易成本</w:t>
            </w:r>
          </w:p>
        </w:tc>
        <w:tc>
          <w:tcPr>
            <w:tcW w:type="dxa" w:w="4323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179.50 元</w:t>
            </w:r>
          </w:p>
        </w:tc>
      </w:tr>
    </w:tbl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1"/>
        </w:rPr>
        <w:t>表1  MA5/MA20双均线策略核心绩效指标汇总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从表1可以看出，生产级策略在长江电力上的总收益为-0.89%，超额收益为5.21%，优于买入持有。最大回撤控制在-1.78%以内，体现了仓位管理与出场规则对风险的有效抑制。胜率为50.0%，盈亏比为0.477，说明该阶段策略盈利与亏损交替出现。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五、交易明细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下表列出了MA5/MA20策略在长江电力上的全部交易记录，包括买入日期、卖出日期、持仓天数、成交股数、毛盈亏、交易成本、净盈亏、净收益率和出场原因。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</w:tblGrid>
      <w:tr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买入日期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卖出日期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持仓天数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股数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毛盈亏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成本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净盈亏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净收益率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出场原因</w:t>
            </w:r>
          </w:p>
        </w:tc>
      </w:tr>
      <w:tr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2025-10-14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2025-11-11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892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511.46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45.91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465.56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1.86%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时间</w:t>
            </w:r>
          </w:p>
        </w:tc>
      </w:tr>
      <w:tr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2026-03-03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2026-03-26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17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930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265.72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45.67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220.05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0.88%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信号</w:t>
            </w:r>
          </w:p>
        </w:tc>
      </w:tr>
      <w:tr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2026-04-23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2026-05-21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17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932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-320.24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44.68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-364.92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-1.45%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信号</w:t>
            </w:r>
          </w:p>
        </w:tc>
      </w:tr>
      <w:tr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2026-05-29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2026-06-18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902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-1032.26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43.24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-1075.50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-4.29%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信号</w:t>
            </w:r>
          </w:p>
        </w:tc>
      </w:tr>
    </w:tbl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1"/>
        </w:rPr>
        <w:t>表2  MA5/MA20策略交易明细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从表2可以看出，尽管市场整体下跌，但单笔亏损均被严格限制。例如最后一笔交易虽然亏损超过1000元，但相对于10万元本金，亏损幅度约为1%，远小于买入持有的跌幅。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六、不同维度对比分析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6.1 不同仓位管理模式对比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为研究仓位管理对策略的影响，在相同的入场、出场和风控规则下，分别测试固定金额、固定比例、凯利公式和风险平价四种模式。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</w:tblGrid>
      <w:tr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仓位模式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总收益(%)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买入持有(%)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超额收益(%)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最大回撤(%)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夏普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胜率(%)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盈亏比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交易次数</w:t>
            </w:r>
          </w:p>
        </w:tc>
      </w:tr>
      <w:tr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fixed_amount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-0.37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-6.1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5.73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-0.72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-3.636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50.0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0.467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</w:tr>
      <w:tr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fixed_fraction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-0.89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-6.1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5.21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-1.78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-1.801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50.0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0.477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</w:tr>
      <w:tr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kelly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-0.89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-6.1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5.21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-1.78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-1.801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50.0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0.477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</w:tr>
      <w:tr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risk_parity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-1.42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-6.1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4.68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-2.84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-1.348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50.0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0.477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</w:tr>
    </w:tbl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1"/>
        </w:rPr>
        <w:t>表3  不同仓位管理模式绩效对比</w:t>
      </w: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199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osi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1"/>
        </w:rPr>
        <w:t>图6  不同仓位管理模式综合对比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图6显示，固定金额模式回撤最小（约0.72%），但资金利用率较低；凯利公式和固定比例模式表现接近；风险平价模式因根据ATR放大波动敞口，回撤和成本略高。 overall，四种模式均显著跑赢了买入持有。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6.2 不同均线周期对比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为研究均线周期的影响，选取五组常用组合在长江电力上回测。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</w:tblGrid>
      <w:tr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均线组合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总收益(%)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买入持有(%)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超额收益(%)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最大回撤(%)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夏普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胜率(%)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盈亏比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交易次数</w:t>
            </w:r>
          </w:p>
        </w:tc>
      </w:tr>
      <w:tr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MA5/MA10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-1.15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-6.1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4.95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-2.17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-2.175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20.0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1.581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</w:tr>
      <w:tr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MA5/MA15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-2.12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-6.1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3.98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-2.12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-2.716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</w:tr>
      <w:tr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MA5/MA20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-0.89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-6.1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5.21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-1.78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-1.801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50.0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0.477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</w:tr>
      <w:tr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MA10/MA20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-0.75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-6.1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5.35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-1.45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-2.287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50.0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0.182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</w:tr>
      <w:tr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MA10/MA30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-0.71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-2.92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2.21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-1.9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-1.849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50.0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0.461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</w:tr>
    </w:tbl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1"/>
        </w:rPr>
        <w:t>表4  不同均线周期绩效对比</w:t>
      </w: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199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erio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1"/>
        </w:rPr>
        <w:t>图7  不同均线周期综合对比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从表4和图7可以看出，MA5/MA20和MA10/MA20表现较为均衡，超额收益分别为5.21%和5.35%，最大回撤控制在1.5%至1.8%之间。MA5/MA10交易次数最多（5次），胜率较低；MA5/MA15则在该阶段4次交易全部亏损。这说明参数选择对策略表现影响显著，需结合标的波动特性进行优化。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6.3 不同股票对比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为研究策略在不同股票上的适用性，选取长江电力、贵州茅台、中国平安三只股票进行对比。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</w:tblGrid>
      <w:tr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股票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总收益(%)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买入持有(%)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超额收益(%)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最大回撤(%)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夏普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胜率(%)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盈亏比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交易次数</w:t>
            </w:r>
          </w:p>
        </w:tc>
      </w:tr>
      <w:tr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长江电力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-0.89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-6.1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5.21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-1.78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-1.801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50.0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0.477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</w:tr>
      <w:tr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贵州茅台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-0.9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-15.2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14.3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-2.1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-2.022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</w:tr>
      <w:tr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中国平安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-1.75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-15.48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13.73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-1.99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-3.61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</w:t>
            </w:r>
          </w:p>
        </w:tc>
        <w:tc>
          <w:tcPr>
            <w:tcW w:type="dxa" w:w="961"/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</w:tr>
    </w:tbl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1"/>
        </w:rPr>
        <w:t>表5  不同股票双均线策略（MA5/MA20）对比</w:t>
      </w: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199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stock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1"/>
        </w:rPr>
        <w:t>图8  不同股票综合对比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表5显示，贵州茅台和中国平安的超额收益分别高达14.30%和13.73%，远超长江电力的5.21%。这验证了双均线策略更适合高波动标的：高波动股票趋势更明显，止损和仓位管理更能发挥风险控制价值。但值得注意的是，贵州茅台和中国平安在回测期内触发交易次数极少（各1次），样本量有限，结论需谨慎看待。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/>
          <w:b/>
          <w:sz w:val="21"/>
        </w:rPr>
        <w:t>七、总结与心得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通过本次TASK3的实践，对生产级量化策略的设计有了更深入的理解。以下从四要素角度总结心得：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第一，入场规则必须明确可量化。主观判断无法回测，而"金叉+RSI+成交量"这类组合条件可以客观验证，也能通过历史数据筛选出更优的过滤条件。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第二，出场规则比入场更重要。止盈锁定利润、止损截断亏损、信号跟随趋势、时间防止套牢，四位一体的出场机制让策略在不同行情下都有退出路径，避免出现"买得对、卖不对"的困境。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第三，仓位管理决定最大亏损。固定金额、固定比例、凯利公式、风险平价各有优劣：固定金额简单稳健，凯利公式数学最优但参数敏感，风险平价与波动率挂钩。生产环境中建议结合实际资金规模、标的相关性和风险预算综合选择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第四，风险控制是生存底线。单笔止损、总仓位上限、最大回撤熔断、单日大跌熔断四层防线，能够有效防止极端行情下的 catastrophic loss。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第五，交易成本不可忽视。滑点、佣金、印花税在频繁交易中会显著侵蚀收益。纳入真实成本后，部分理论上盈利的策略可能变得不盈利，因此回测必须贴近真实交易环境。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第六，策略与标的特性匹配。高波动股票更适合趋势跟踪策略，低波动股票信号稀疏、收益有限。未来可进一步引入波动率过滤，只在趋势明显的市场中开仓。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第七，综合评估优于单一指标。总收益、最大回撤、夏普、胜率、盈亏比、Calmar等指标相互关联，必须结合解读。本次生产级框架在控制回撤的前提下，实现了稳定的超额收益，为后续更复杂策略研究奠定了坚实基础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