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240"/>
        <w:jc w:val="center"/>
      </w:pPr>
      <w:r>
        <w:rPr>
          <w:rFonts w:ascii="SimHei" w:hAnsi="SimHei" w:eastAsia="SimHei"/>
          <w:b/>
          <w:sz w:val="36"/>
        </w:rPr>
        <w:t>智能决策者：机器学习定制专属策略</w:t>
      </w:r>
    </w:p>
    <w:p>
      <w:pPr>
        <w:spacing w:line="360" w:lineRule="auto" w:before="0" w:after="360"/>
        <w:jc w:val="center"/>
      </w:pPr>
      <w:r>
        <w:rPr>
          <w:rFonts w:ascii="SimHei" w:hAnsi="SimHei" w:eastAsia="SimHei"/>
          <w:b w:val="0"/>
          <w:sz w:val="28"/>
        </w:rPr>
        <w:t>TASK6 量化交易工作坊报告</w:t>
      </w:r>
    </w:p>
    <w:p>
      <w:pPr>
        <w:spacing w:line="360" w:lineRule="auto" w:before="0" w:after="120"/>
        <w:jc w:val="center"/>
      </w:pPr>
      <w:r>
        <w:rPr>
          <w:rFonts w:ascii="SimSun" w:hAnsi="SimSun" w:eastAsia="SimSun"/>
          <w:b w:val="0"/>
          <w:sz w:val="24"/>
        </w:rPr>
        <w:t>作者：林富强    学校：北京大学</w:t>
      </w:r>
    </w:p>
    <w:p>
      <w:r>
        <w:br w:type="page"/>
      </w:r>
    </w:p>
    <w:p>
      <w:pPr>
        <w:spacing w:line="360" w:lineRule="auto" w:before="240" w:after="120"/>
        <w:jc w:val="center"/>
      </w:pPr>
      <w:r>
        <w:rPr>
          <w:rFonts w:ascii="SimHei" w:hAnsi="SimHei" w:eastAsia="SimHei"/>
          <w:b/>
          <w:sz w:val="32"/>
        </w:rPr>
        <w:t>一、任务概述</w:t>
      </w:r>
    </w:p>
    <w:p>
      <w:pPr>
        <w:spacing w:line="360" w:lineRule="auto" w:before="0" w:after="0"/>
        <w:ind w:firstLine="839"/>
        <w:jc w:val="both"/>
      </w:pPr>
      <w:r>
        <w:rPr>
          <w:rFonts w:ascii="SimSun" w:hAnsi="SimSun" w:eastAsia="SimSun"/>
          <w:b w:val="0"/>
          <w:sz w:val="21"/>
        </w:rPr>
        <w:t>本任务是量化交易工作坊第六个任务，核心目标是利用机器学习算法构建股票收益率预测模型，并基于模型预测结果生成截面选股交易策略。具体而言，我们将在每个季度末对全市场股票池进行打分排序，挑选模型预测收益率最高的前 30 只股票构建等权组合持有至下季度末，季度调仓，并将策略表现与等权基准和市场整体趋势进行对比。</w:t>
      </w:r>
    </w:p>
    <w:p>
      <w:pPr>
        <w:spacing w:line="360" w:lineRule="auto" w:before="0" w:after="0"/>
        <w:ind w:firstLine="839"/>
        <w:jc w:val="both"/>
      </w:pPr>
      <w:r>
        <w:rPr>
          <w:rFonts w:ascii="SimSun" w:hAnsi="SimSun" w:eastAsia="SimSun"/>
          <w:b w:val="0"/>
          <w:sz w:val="21"/>
        </w:rPr>
        <w:t>本任务不仅要求掌握机器学习模型的构建与训练流程，还需要学会如何将模型预测结果转化为实际可执行的交易决策，以及如何全面地回测和评估策略表现。这是从建模到落地的完整闭环，对后续实盘交易具有重要指导意义。</w:t>
      </w:r>
    </w:p>
    <w:p>
      <w:pPr>
        <w:spacing w:line="360" w:lineRule="auto" w:before="0" w:after="0"/>
        <w:ind w:firstLine="839"/>
        <w:jc w:val="both"/>
      </w:pPr>
      <w:r>
        <w:rPr>
          <w:rFonts w:ascii="SimSun" w:hAnsi="SimSun" w:eastAsia="SimSun"/>
          <w:b w:val="0"/>
          <w:sz w:val="21"/>
        </w:rPr>
        <w:t>任务要求回答两个理论问题：基于机器学习模型的交易策略的核心理念、优缺点，以及量化交易机器学习模型中常见的自变量因子和应变量的定义。编程部分则需完成数据加载、特征工程、模型训练、策略回测、多模型对比等完整流程，并提交图表和回测结果。</w:t>
      </w:r>
    </w:p>
    <w:p>
      <w:pPr>
        <w:spacing w:line="360" w:lineRule="auto" w:before="240" w:after="120"/>
        <w:jc w:val="center"/>
      </w:pPr>
      <w:r>
        <w:rPr>
          <w:rFonts w:ascii="SimHei" w:hAnsi="SimHei" w:eastAsia="SimHei"/>
          <w:b/>
          <w:sz w:val="32"/>
        </w:rPr>
        <w:t>二、基于机器学习的交易策略：核心理念与优缺点</w:t>
      </w:r>
    </w:p>
    <w:p>
      <w:pPr>
        <w:spacing w:line="360" w:lineRule="auto" w:before="200" w:after="100"/>
        <w:jc w:val="left"/>
      </w:pPr>
      <w:r>
        <w:rPr>
          <w:rFonts w:ascii="SimHei" w:hAnsi="SimHei" w:eastAsia="SimHei"/>
          <w:b/>
          <w:sz w:val="28"/>
        </w:rPr>
        <w:t>2.1 核心理念</w:t>
      </w:r>
    </w:p>
    <w:p>
      <w:pPr>
        <w:spacing w:line="360" w:lineRule="auto" w:before="0" w:after="0"/>
        <w:ind w:firstLine="839"/>
        <w:jc w:val="both"/>
      </w:pPr>
      <w:r>
        <w:rPr>
          <w:rFonts w:ascii="SimSun" w:hAnsi="SimSun" w:eastAsia="SimSun"/>
          <w:b w:val="0"/>
          <w:sz w:val="21"/>
        </w:rPr>
        <w:t>基于机器学习的交易策略，其核心理念是以数据驱动的方式从历史样本中学习市场规律，并将所学习到的模式外推到未来以指导交易决策。具体而言，策略将过去一段时间内的行情数据、估值数据、量价数据等加工成一组特征向量 X（自变量），将下一期股票的收益率 y（应变量）作为预测目标，利用监督学习算法在历史样本上拟合出从特征到收益的映射关系 f(X)≈y。模型训练完成后，在每个调仓日对当期所有股票的 X 进行预测打分，按照预测收益率从高到低排序，选取排名靠前的股票构建多头组合，从而将模型的预测能力转化为交易行为。</w:t>
      </w:r>
    </w:p>
    <w:p>
      <w:pPr>
        <w:spacing w:line="360" w:lineRule="auto" w:before="0" w:after="0"/>
        <w:ind w:firstLine="839"/>
        <w:jc w:val="both"/>
      </w:pPr>
      <w:r>
        <w:rPr>
          <w:rFonts w:ascii="SimSun" w:hAnsi="SimSun" w:eastAsia="SimSun"/>
          <w:b w:val="0"/>
          <w:sz w:val="21"/>
        </w:rPr>
        <w:t>与传统基于规则或单因子的策略相比，机器学习策略最大的不同在于非线性和高维组合。传统策略往往基于单因子或简单规则，如 5 日均线上穿 20 日均线买入，而机器学习可以同时处理数十上百个因子，捕捉因子之间复杂的交互作用，并通过集成学习等方法降低单因子的过拟合风险，使策略更具适应性和稳健性。</w:t>
      </w:r>
    </w:p>
    <w:p>
      <w:pPr>
        <w:spacing w:line="360" w:lineRule="auto" w:before="200" w:after="100"/>
        <w:jc w:val="left"/>
      </w:pPr>
      <w:r>
        <w:rPr>
          <w:rFonts w:ascii="SimHei" w:hAnsi="SimHei" w:eastAsia="SimHei"/>
          <w:b/>
          <w:sz w:val="28"/>
        </w:rPr>
        <w:t>2.2 优点</w:t>
      </w:r>
    </w:p>
    <w:p>
      <w:pPr>
        <w:spacing w:line="360" w:lineRule="auto" w:before="0" w:after="0"/>
        <w:ind w:firstLine="839"/>
        <w:jc w:val="both"/>
      </w:pPr>
      <w:r>
        <w:rPr>
          <w:rFonts w:ascii="SimSun" w:hAnsi="SimSun" w:eastAsia="SimSun"/>
          <w:b w:val="0"/>
          <w:sz w:val="21"/>
        </w:rPr>
        <w:t>其一，非线性建模能力强。决策树、随机森林、XGBoost 等模型能够自动捕捉因子之间的非线性交互，无需人为设定规则，降低了策略开发对研究人员市场经验的依赖。</w:t>
      </w:r>
    </w:p>
    <w:p>
      <w:pPr>
        <w:spacing w:line="360" w:lineRule="auto" w:before="0" w:after="0"/>
        <w:ind w:firstLine="839"/>
        <w:jc w:val="both"/>
      </w:pPr>
      <w:r>
        <w:rPr>
          <w:rFonts w:ascii="SimSun" w:hAnsi="SimSun" w:eastAsia="SimSun"/>
          <w:b w:val="0"/>
          <w:sz w:val="21"/>
        </w:rPr>
        <w:t>其二，自动化与可扩展性高。一旦建立好因子库和模型训练流程，新增股票、扩展时间窗口、调整因子组合都可通过自动化代码完成，便于大规模回测和实盘部署。</w:t>
      </w:r>
    </w:p>
    <w:p>
      <w:pPr>
        <w:spacing w:line="360" w:lineRule="auto" w:before="0" w:after="0"/>
        <w:ind w:firstLine="839"/>
        <w:jc w:val="both"/>
      </w:pPr>
      <w:r>
        <w:rPr>
          <w:rFonts w:ascii="SimSun" w:hAnsi="SimSun" w:eastAsia="SimSun"/>
          <w:b w:val="0"/>
          <w:sz w:val="21"/>
        </w:rPr>
        <w:t>其三，多因子综合决策。机器学习模型可以同时纳入动量、反转、波动率、换手率、估值、规模等多类因子，并自动赋予权重，避免了传统多因子模型中因子权重难以确定的问题。</w:t>
      </w:r>
    </w:p>
    <w:p>
      <w:pPr>
        <w:spacing w:line="360" w:lineRule="auto" w:before="0" w:after="0"/>
        <w:ind w:firstLine="839"/>
        <w:jc w:val="both"/>
      </w:pPr>
      <w:r>
        <w:rPr>
          <w:rFonts w:ascii="SimSun" w:hAnsi="SimSun" w:eastAsia="SimSun"/>
          <w:b w:val="0"/>
          <w:sz w:val="21"/>
        </w:rPr>
        <w:t>其四，可解释性与因子分析支持。随机森林、XGBoost 等模型可以输出特征重要性排序，帮助研究人员理解哪些因子对收益预测贡献最大，从而优化因子库和策略逻辑。</w:t>
      </w:r>
    </w:p>
    <w:p>
      <w:pPr>
        <w:spacing w:line="360" w:lineRule="auto" w:before="0" w:after="0"/>
        <w:ind w:firstLine="839"/>
        <w:jc w:val="both"/>
      </w:pPr>
      <w:r>
        <w:rPr>
          <w:rFonts w:ascii="SimSun" w:hAnsi="SimSun" w:eastAsia="SimSun"/>
          <w:b w:val="0"/>
          <w:sz w:val="21"/>
        </w:rPr>
        <w:t>其五，自适应与可迭代优化。模型可以随着新增数据不断重新训练，及时捕捉市场风格切换和行业轮动，使策略在动态市场中保持一定的适应性。</w:t>
      </w:r>
    </w:p>
    <w:p>
      <w:pPr>
        <w:spacing w:line="360" w:lineRule="auto" w:before="200" w:after="100"/>
        <w:jc w:val="left"/>
      </w:pPr>
      <w:r>
        <w:rPr>
          <w:rFonts w:ascii="SimHei" w:hAnsi="SimHei" w:eastAsia="SimHei"/>
          <w:b/>
          <w:sz w:val="28"/>
        </w:rPr>
        <w:t>2.3 缺点与挑战</w:t>
      </w:r>
    </w:p>
    <w:p>
      <w:pPr>
        <w:spacing w:line="360" w:lineRule="auto" w:before="0" w:after="0"/>
        <w:ind w:firstLine="839"/>
        <w:jc w:val="both"/>
      </w:pPr>
      <w:r>
        <w:rPr>
          <w:rFonts w:ascii="SimSun" w:hAnsi="SimSun" w:eastAsia="SimSun"/>
          <w:b w:val="0"/>
          <w:sz w:val="21"/>
        </w:rPr>
        <w:t>其一，过拟合风险高。金融时间序列信噪比极低，市场规律随时变化，模型在历史样本上的高精度表现很难外推到未来。这是机器学习策略最常见也最致命的风险。</w:t>
      </w:r>
    </w:p>
    <w:p>
      <w:pPr>
        <w:spacing w:line="360" w:lineRule="auto" w:before="0" w:after="0"/>
        <w:ind w:firstLine="839"/>
        <w:jc w:val="both"/>
      </w:pPr>
      <w:r>
        <w:rPr>
          <w:rFonts w:ascii="SimSun" w:hAnsi="SimSun" w:eastAsia="SimSun"/>
          <w:b w:val="0"/>
          <w:sz w:val="21"/>
        </w:rPr>
        <w:t>其二，对数据质量和特征工程高度依赖。脏数据、幸存者偏差、前视偏差都会导致模型学到虚假规律。特征工程的优劣往往决定了模型表现的 80% 以上。</w:t>
      </w:r>
    </w:p>
    <w:p>
      <w:pPr>
        <w:spacing w:line="360" w:lineRule="auto" w:before="0" w:after="0"/>
        <w:ind w:firstLine="839"/>
        <w:jc w:val="both"/>
      </w:pPr>
      <w:r>
        <w:rPr>
          <w:rFonts w:ascii="SimSun" w:hAnsi="SimSun" w:eastAsia="SimSun"/>
          <w:b w:val="0"/>
          <w:sz w:val="21"/>
        </w:rPr>
        <w:t>其三，市场环境变化导致失效。2017 年表现优异的动量因子在 2022 年以后显著失效，机器学习模型如果没有动态更新机制，很容易在风格切换时遭遇大幅回撤。</w:t>
      </w:r>
    </w:p>
    <w:p>
      <w:pPr>
        <w:spacing w:line="360" w:lineRule="auto" w:before="0" w:after="0"/>
        <w:ind w:firstLine="839"/>
        <w:jc w:val="both"/>
      </w:pPr>
      <w:r>
        <w:rPr>
          <w:rFonts w:ascii="SimSun" w:hAnsi="SimSun" w:eastAsia="SimSun"/>
          <w:b w:val="0"/>
          <w:sz w:val="21"/>
        </w:rPr>
        <w:t>其四，交易成本侵蚀收益。截面选股策略通常每季度调仓一次，组合换手率较高，手续费、印花税、滑点等交易成本会显著侵蚀原本微薄的 alpha 收益。</w:t>
      </w:r>
    </w:p>
    <w:p>
      <w:pPr>
        <w:spacing w:line="360" w:lineRule="auto" w:before="0" w:after="0"/>
        <w:ind w:firstLine="839"/>
        <w:jc w:val="both"/>
      </w:pPr>
      <w:r>
        <w:rPr>
          <w:rFonts w:ascii="SimSun" w:hAnsi="SimSun" w:eastAsia="SimSun"/>
          <w:b w:val="0"/>
          <w:sz w:val="21"/>
        </w:rPr>
        <w:t>其五，黑箱与可解释性不足。深度学习等复杂模型虽然在某些场景下表现优异，但其决策逻辑难以解释，给实盘风控和监管合规带来挑战。</w:t>
      </w:r>
    </w:p>
    <w:p>
      <w:pPr>
        <w:spacing w:line="360" w:lineRule="auto" w:before="0" w:after="0"/>
        <w:ind w:firstLine="839"/>
        <w:jc w:val="both"/>
      </w:pPr>
      <w:r>
        <w:rPr>
          <w:rFonts w:ascii="SimSun" w:hAnsi="SimSun" w:eastAsia="SimSun"/>
          <w:b w:val="0"/>
          <w:sz w:val="21"/>
        </w:rPr>
        <w:t>其六，因子拥挤与策略同质化。当多家机构使用相似的因子和模型时，因子有效性会因拥挤交易而显著下降，超额收益空间被压缩。</w:t>
      </w:r>
    </w:p>
    <w:p>
      <w:pPr>
        <w:spacing w:line="360" w:lineRule="auto" w:before="240" w:after="120"/>
        <w:jc w:val="center"/>
      </w:pPr>
      <w:r>
        <w:rPr>
          <w:rFonts w:ascii="SimHei" w:hAnsi="SimHei" w:eastAsia="SimHei"/>
          <w:b/>
          <w:sz w:val="32"/>
        </w:rPr>
        <w:t>三、量化交易机器学习模型中自变量与应变量的定义</w:t>
      </w:r>
    </w:p>
    <w:p>
      <w:pPr>
        <w:spacing w:line="360" w:lineRule="auto" w:before="200" w:after="100"/>
        <w:jc w:val="left"/>
      </w:pPr>
      <w:r>
        <w:rPr>
          <w:rFonts w:ascii="SimHei" w:hAnsi="SimHei" w:eastAsia="SimHei"/>
          <w:b/>
          <w:sz w:val="28"/>
        </w:rPr>
        <w:t>3.1 应变量（预测目标）</w:t>
      </w:r>
    </w:p>
    <w:p>
      <w:pPr>
        <w:spacing w:line="360" w:lineRule="auto" w:before="0" w:after="0"/>
        <w:ind w:firstLine="839"/>
        <w:jc w:val="both"/>
      </w:pPr>
      <w:r>
        <w:rPr>
          <w:rFonts w:ascii="SimSun" w:hAnsi="SimSun" w:eastAsia="SimSun"/>
          <w:b w:val="0"/>
          <w:sz w:val="21"/>
        </w:rPr>
        <w:t>应变量是机器学习模型需要预测的目标，即在给定调仓频率下，股票在持有期内的收益率。常见的应变量定义有：</w:t>
      </w:r>
    </w:p>
    <w:p>
      <w:pPr>
        <w:spacing w:line="360" w:lineRule="auto" w:before="0" w:after="0"/>
        <w:ind w:firstLine="839"/>
        <w:jc w:val="both"/>
      </w:pPr>
      <w:r>
        <w:rPr>
          <w:rFonts w:ascii="SimSun" w:hAnsi="SimSun" w:eastAsia="SimSun"/>
          <w:b w:val="0"/>
          <w:sz w:val="21"/>
        </w:rPr>
        <w:t>其一，绝对收益：股票在持有期内的实际收益率 r = (P_end - P_start) / P_start，是最直观的预测目标。</w:t>
      </w:r>
    </w:p>
    <w:p>
      <w:pPr>
        <w:spacing w:line="360" w:lineRule="auto" w:before="0" w:after="0"/>
        <w:ind w:firstLine="839"/>
        <w:jc w:val="both"/>
      </w:pPr>
      <w:r>
        <w:rPr>
          <w:rFonts w:ascii="SimSun" w:hAnsi="SimSun" w:eastAsia="SimSun"/>
          <w:b w:val="0"/>
          <w:sz w:val="21"/>
        </w:rPr>
        <w:t>其二，相对收益（超额收益）：股票在持有期内的实际收益率减去同期基准（如沪深 300 指数）的收益率 r_excess = r_stock - r_benchmark。这种目标值剔除了市场整体波动，更适合用来做选股。</w:t>
      </w:r>
    </w:p>
    <w:p>
      <w:pPr>
        <w:spacing w:line="360" w:lineRule="auto" w:before="0" w:after="0"/>
        <w:ind w:firstLine="839"/>
        <w:jc w:val="both"/>
      </w:pPr>
      <w:r>
        <w:rPr>
          <w:rFonts w:ascii="SimSun" w:hAnsi="SimSun" w:eastAsia="SimSun"/>
          <w:b w:val="0"/>
          <w:sz w:val="21"/>
        </w:rPr>
        <w:t>其三，排名标签：将同截面内所有股票按收益排序后转化为 1~N 的排名或分位数标签（如前 30% 标记为 1，后 70% 标记为 0），常用于分类模型。</w:t>
      </w:r>
    </w:p>
    <w:p>
      <w:pPr>
        <w:spacing w:line="360" w:lineRule="auto" w:before="0" w:after="0"/>
        <w:ind w:firstLine="839"/>
        <w:jc w:val="both"/>
      </w:pPr>
      <w:r>
        <w:rPr>
          <w:rFonts w:ascii="SimSun" w:hAnsi="SimSun" w:eastAsia="SimSun"/>
          <w:b w:val="0"/>
          <w:sz w:val="21"/>
        </w:rPr>
        <w:t>其四，标准化收益：将股票收益除以同期波动率，得到风险调整后的收益（类似 Sharpe 比率），有助于处理波动率差异大的股票。</w:t>
      </w:r>
    </w:p>
    <w:p>
      <w:pPr>
        <w:spacing w:line="360" w:lineRule="auto" w:before="0" w:after="0"/>
        <w:ind w:firstLine="839"/>
        <w:jc w:val="both"/>
      </w:pPr>
      <w:r>
        <w:rPr>
          <w:rFonts w:ascii="SimSun" w:hAnsi="SimSun" w:eastAsia="SimSun"/>
          <w:b w:val="0"/>
          <w:sz w:val="21"/>
        </w:rPr>
        <w:t>本研究采用最常见的定义——下季度实际收益率（绝对收益）作为应变量，调仓频率为季度。</w:t>
      </w:r>
    </w:p>
    <w:p>
      <w:pPr>
        <w:spacing w:line="360" w:lineRule="auto" w:before="200" w:after="100"/>
        <w:jc w:val="left"/>
      </w:pPr>
      <w:r>
        <w:rPr>
          <w:rFonts w:ascii="SimHei" w:hAnsi="SimHei" w:eastAsia="SimHei"/>
          <w:b/>
          <w:sz w:val="28"/>
        </w:rPr>
        <w:t>3.2 自变量（预测特征）</w:t>
      </w:r>
    </w:p>
    <w:p>
      <w:pPr>
        <w:spacing w:line="360" w:lineRule="auto" w:before="0" w:after="0"/>
        <w:ind w:firstLine="839"/>
        <w:jc w:val="both"/>
      </w:pPr>
      <w:r>
        <w:rPr>
          <w:rFonts w:ascii="SimSun" w:hAnsi="SimSun" w:eastAsia="SimSun"/>
          <w:b w:val="0"/>
          <w:sz w:val="21"/>
        </w:rPr>
        <w:t>自变量是描述股票当前状态、用于预测未来收益的因子集合。根据信息来源的不同，常见的自变量因子可分为以下几大类：</w:t>
      </w:r>
    </w:p>
    <w:p>
      <w:pPr>
        <w:spacing w:line="360" w:lineRule="auto" w:before="0" w:after="0"/>
        <w:ind w:firstLine="839"/>
        <w:jc w:val="both"/>
      </w:pPr>
      <w:r>
        <w:rPr>
          <w:rFonts w:ascii="SimSun" w:hAnsi="SimSun" w:eastAsia="SimSun"/>
          <w:b w:val="0"/>
          <w:sz w:val="21"/>
        </w:rPr>
        <w:t>其一，价格动量类因子。反映股票过去一段时间的趋势强度，核心假设是强者恒强或弱者恒弱。常见指标包括 1 个月/3 个月/6 个月/12 个月收益率、剔除最近 1 个月的 12 月动量（避免短期反转污染）、相对强弱指数（RSI）等。本研究使用了 mom_1m、mom_3m、mom_12m_1m、rsi_14、reversal_5d 五个动量类因子。</w:t>
      </w:r>
    </w:p>
    <w:p>
      <w:pPr>
        <w:spacing w:line="360" w:lineRule="auto" w:before="0" w:after="0"/>
        <w:ind w:firstLine="839"/>
        <w:jc w:val="both"/>
      </w:pPr>
      <w:r>
        <w:rPr>
          <w:rFonts w:ascii="SimSun" w:hAnsi="SimSun" w:eastAsia="SimSun"/>
          <w:b w:val="0"/>
          <w:sz w:val="21"/>
        </w:rPr>
        <w:t>其二，成交量与换手率类因子。反映市场参与度和资金流向，低位放量上涨往往是强势信号，高位放量滞涨则可能是见顶信号。常用指标包括 20 日均量、5 日/20 日均量比（量比）、换手率及其变化等。本研究使用了 turn_20d、vol_ratio 两个换手率因子。</w:t>
      </w:r>
    </w:p>
    <w:p>
      <w:pPr>
        <w:spacing w:line="360" w:lineRule="auto" w:before="0" w:after="0"/>
        <w:ind w:firstLine="839"/>
        <w:jc w:val="both"/>
      </w:pPr>
      <w:r>
        <w:rPr>
          <w:rFonts w:ascii="SimSun" w:hAnsi="SimSun" w:eastAsia="SimSun"/>
          <w:b w:val="0"/>
          <w:sz w:val="21"/>
        </w:rPr>
        <w:t>其三，波动率类因子。波动率与未来收益的关系在学术研究中较为复杂，高波动率股票未来收益较低是常见的风险溢价规律。常用指标包括 20 日/5 日收益率标准差、上下振幅等。本研究使用了 vol_20d、vol_5d、vol_change 三个波动率因子。</w:t>
      </w:r>
    </w:p>
    <w:p>
      <w:pPr>
        <w:spacing w:line="360" w:lineRule="auto" w:before="0" w:after="0"/>
        <w:ind w:firstLine="839"/>
        <w:jc w:val="both"/>
      </w:pPr>
      <w:r>
        <w:rPr>
          <w:rFonts w:ascii="SimSun" w:hAnsi="SimSun" w:eastAsia="SimSun"/>
          <w:b w:val="0"/>
          <w:sz w:val="21"/>
        </w:rPr>
        <w:t>其四，技术形态类因子。包括价格相对均线的偏离度（乖离率）、布林带位置、MACD 等，衡量股价在历史区间中的相对位置。本研究使用了 ma_bias_20、bb_pos 两个技术形态因子。</w:t>
      </w:r>
    </w:p>
    <w:p>
      <w:pPr>
        <w:spacing w:line="360" w:lineRule="auto" w:before="0" w:after="0"/>
        <w:ind w:firstLine="839"/>
        <w:jc w:val="both"/>
      </w:pPr>
      <w:r>
        <w:rPr>
          <w:rFonts w:ascii="SimSun" w:hAnsi="SimSun" w:eastAsia="SimSun"/>
          <w:b w:val="0"/>
          <w:sz w:val="21"/>
        </w:rPr>
        <w:t>其五，规模与估值类因子。规模因子（小市值溢价）和估值因子（低估值溢价）是 A 股市场长期有效的风险因子。常用指标包括总市值、流通市值、PE、PB、股息率等。本研究使用 ln_market_cap 作为规模代理因子。</w:t>
      </w:r>
    </w:p>
    <w:p>
      <w:pPr>
        <w:spacing w:line="360" w:lineRule="auto" w:before="0" w:after="0"/>
        <w:ind w:firstLine="839"/>
        <w:jc w:val="both"/>
      </w:pPr>
      <w:r>
        <w:rPr>
          <w:rFonts w:ascii="SimSun" w:hAnsi="SimSun" w:eastAsia="SimSun"/>
          <w:b w:val="0"/>
          <w:sz w:val="21"/>
        </w:rPr>
        <w:t>其六，质量与成长类因子。包括 ROE、ROA、净利润增速、营收增速等基本面因子，衡量公司的盈利能力和成长性。本研究未纳入基本面因子，留作后续改进方向。</w:t>
      </w:r>
    </w:p>
    <w:p>
      <w:pPr>
        <w:spacing w:line="360" w:lineRule="auto" w:before="0" w:after="0"/>
        <w:ind w:firstLine="839"/>
        <w:jc w:val="both"/>
      </w:pPr>
      <w:r>
        <w:rPr>
          <w:rFonts w:ascii="SimSun" w:hAnsi="SimSun" w:eastAsia="SimSun"/>
          <w:b w:val="0"/>
          <w:sz w:val="21"/>
        </w:rPr>
        <w:t>综上，本研究共构建 12 个自变量因子，涵盖动量、换手率、波动率、技术形态、规模五大类；应变量为下季度实际收益率。</w:t>
      </w:r>
    </w:p>
    <w:p>
      <w:pPr>
        <w:spacing w:line="360" w:lineRule="auto" w:before="240" w:after="120"/>
        <w:jc w:val="center"/>
      </w:pPr>
      <w:r>
        <w:rPr>
          <w:rFonts w:ascii="SimHei" w:hAnsi="SimHei" w:eastAsia="SimHei"/>
          <w:b/>
          <w:sz w:val="32"/>
        </w:rPr>
        <w:t>四、Python 编程实现</w:t>
      </w:r>
    </w:p>
    <w:p>
      <w:pPr>
        <w:spacing w:line="360" w:lineRule="auto" w:before="200" w:after="100"/>
        <w:jc w:val="left"/>
      </w:pPr>
      <w:r>
        <w:rPr>
          <w:rFonts w:ascii="SimHei" w:hAnsi="SimHei" w:eastAsia="SimHei"/>
          <w:b/>
          <w:sz w:val="28"/>
        </w:rPr>
        <w:t>4.1 数据获取与加载</w:t>
      </w:r>
    </w:p>
    <w:p>
      <w:pPr>
        <w:spacing w:line="360" w:lineRule="auto" w:before="0" w:after="0"/>
        <w:ind w:firstLine="839"/>
        <w:jc w:val="both"/>
      </w:pPr>
      <w:r>
        <w:rPr>
          <w:rFonts w:ascii="SimSun" w:hAnsi="SimSun" w:eastAsia="SimSun"/>
          <w:b w:val="0"/>
          <w:sz w:val="21"/>
        </w:rPr>
        <w:t>本研究选取了 100 只 A 股作为研究对象，覆盖银行、证券、白酒、医药、科技、汽车、房地产、家电、化工、能源、建筑、钢铁、交通运输等 17 个行业板块，以期得到行业分散、风格均衡的股票池。数据时间范围为 2014 年 1 月 1 日至 2024 年 12 月 31 日，其中 2014 年的数据用于计算 12 月动量等需要较长历史窗口的因子。</w:t>
      </w:r>
    </w:p>
    <w:p>
      <w:pPr>
        <w:spacing w:line="360" w:lineRule="auto" w:before="0" w:after="0"/>
        <w:ind w:firstLine="839"/>
        <w:jc w:val="both"/>
      </w:pPr>
      <w:r>
        <w:rPr>
          <w:rFonts w:ascii="SimSun" w:hAnsi="SimSun" w:eastAsia="SimSun"/>
          <w:b w:val="0"/>
          <w:sz w:val="21"/>
        </w:rPr>
        <w:t>数据源采用 Tushare Pro 接口，下载的日线行情包括开盘价、收盘价、最高价、最低价、成交量、成交额、涨跌幅等字段。由于 Tushare 复权因子接口存在较严格的限流规则（每分钟 1 次），本研究采用累计涨跌幅 pct_chg 反推得到后复权收盘价，在保证复权精度的同时显著提升数据获取效率。</w:t>
      </w:r>
    </w:p>
    <w:p>
      <w:pPr>
        <w:spacing w:line="360" w:lineRule="auto" w:before="0" w:after="0"/>
        <w:ind w:firstLine="839"/>
        <w:jc w:val="both"/>
      </w:pPr>
      <w:r>
        <w:rPr>
          <w:rFonts w:ascii="SimSun" w:hAnsi="SimSun" w:eastAsia="SimSun"/>
          <w:b w:val="0"/>
          <w:sz w:val="21"/>
        </w:rPr>
        <w:t>下载的 100 只股票原始数据存储于 data/raw_daily/ 目录下，每只股票对应一个 CSV 文件，共计约 26.6 万条日线记录，覆盖约 11 年的完整交易周期。</w:t>
      </w:r>
    </w:p>
    <w:p>
      <w:pPr>
        <w:spacing w:line="360" w:lineRule="auto" w:before="200" w:after="100"/>
        <w:jc w:val="left"/>
      </w:pPr>
      <w:r>
        <w:rPr>
          <w:rFonts w:ascii="SimHei" w:hAnsi="SimHei" w:eastAsia="SimHei"/>
          <w:b/>
          <w:sz w:val="28"/>
        </w:rPr>
        <w:t>4.2 因子构建与应变量定义</w:t>
      </w:r>
    </w:p>
    <w:p>
      <w:pPr>
        <w:spacing w:line="360" w:lineRule="auto" w:before="0" w:after="0"/>
        <w:ind w:firstLine="839"/>
        <w:jc w:val="both"/>
      </w:pPr>
      <w:r>
        <w:rPr>
          <w:rFonts w:ascii="SimSun" w:hAnsi="SimSun" w:eastAsia="SimSun"/>
          <w:b w:val="0"/>
          <w:sz w:val="21"/>
        </w:rPr>
        <w:t>在因子构建阶段，本研究针对单只股票的日线数据计算 12 个技术面因子，并按季度末进行快照采样，得到截面面板数据。具体因子定义见表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vAlign w:val="center"/>
          </w:tcPr>
          <w:p>
            <w:pPr>
              <w:spacing w:line="360" w:lineRule="auto" w:before="0" w:after="0"/>
              <w:jc w:val="both"/>
            </w:pPr>
            <w:r/>
            <w:r>
              <w:rPr>
                <w:rFonts w:ascii="SimHei" w:hAnsi="SimHei" w:eastAsia="SimHei"/>
                <w:b/>
                <w:sz w:val="21"/>
              </w:rPr>
              <w:t>因子名称</w:t>
            </w:r>
          </w:p>
        </w:tc>
        <w:tc>
          <w:tcPr>
            <w:tcW w:type="dxa" w:w="1020"/>
            <w:vAlign w:val="center"/>
          </w:tcPr>
          <w:p>
            <w:pPr>
              <w:spacing w:line="360" w:lineRule="auto" w:before="0" w:after="0"/>
              <w:jc w:val="both"/>
            </w:pPr>
            <w:r/>
            <w:r>
              <w:rPr>
                <w:rFonts w:ascii="SimHei" w:hAnsi="SimHei" w:eastAsia="SimHei"/>
                <w:b/>
                <w:sz w:val="21"/>
              </w:rPr>
              <w:t>类别</w:t>
            </w:r>
          </w:p>
        </w:tc>
        <w:tc>
          <w:tcPr>
            <w:tcW w:type="dxa" w:w="3118"/>
            <w:vAlign w:val="center"/>
          </w:tcPr>
          <w:p>
            <w:pPr>
              <w:spacing w:line="360" w:lineRule="auto" w:before="0" w:after="0"/>
              <w:jc w:val="both"/>
            </w:pPr>
            <w:r/>
            <w:r>
              <w:rPr>
                <w:rFonts w:ascii="SimHei" w:hAnsi="SimHei" w:eastAsia="SimHei"/>
                <w:b/>
                <w:sz w:val="21"/>
              </w:rPr>
              <w:t>计算方式</w:t>
            </w:r>
          </w:p>
        </w:tc>
        <w:tc>
          <w:tcPr>
            <w:tcW w:type="dxa" w:w="2835"/>
            <w:vAlign w:val="center"/>
          </w:tcPr>
          <w:p>
            <w:pPr>
              <w:spacing w:line="360" w:lineRule="auto" w:before="0" w:after="0"/>
              <w:jc w:val="both"/>
            </w:pPr>
            <w:r/>
            <w:r>
              <w:rPr>
                <w:rFonts w:ascii="SimHei" w:hAnsi="SimHei" w:eastAsia="SimHei"/>
                <w:b/>
                <w:sz w:val="21"/>
              </w:rPr>
              <w:t>经济含义</w:t>
            </w:r>
          </w:p>
        </w:tc>
      </w:tr>
      <w:tr>
        <w:tc>
          <w:tcPr>
            <w:tcW w:type="dxa" w:w="1417"/>
            <w:vAlign w:val="center"/>
          </w:tcPr>
          <w:p>
            <w:pPr>
              <w:spacing w:line="360" w:lineRule="auto" w:before="0" w:after="0"/>
              <w:jc w:val="both"/>
            </w:pPr>
            <w:r/>
            <w:r>
              <w:rPr>
                <w:rFonts w:ascii="SimSun" w:hAnsi="SimSun" w:eastAsia="SimSun"/>
                <w:b w:val="0"/>
                <w:sz w:val="21"/>
              </w:rPr>
              <w:t>mom_1m</w:t>
            </w:r>
          </w:p>
        </w:tc>
        <w:tc>
          <w:tcPr>
            <w:tcW w:type="dxa" w:w="1020"/>
            <w:vAlign w:val="center"/>
          </w:tcPr>
          <w:p>
            <w:pPr>
              <w:spacing w:line="360" w:lineRule="auto" w:before="0" w:after="0"/>
              <w:jc w:val="both"/>
            </w:pPr>
            <w:r/>
            <w:r>
              <w:rPr>
                <w:rFonts w:ascii="SimSun" w:hAnsi="SimSun" w:eastAsia="SimSun"/>
                <w:b w:val="0"/>
                <w:sz w:val="21"/>
              </w:rPr>
              <w:t>动量</w:t>
            </w:r>
          </w:p>
        </w:tc>
        <w:tc>
          <w:tcPr>
            <w:tcW w:type="dxa" w:w="3118"/>
            <w:vAlign w:val="center"/>
          </w:tcPr>
          <w:p>
            <w:pPr>
              <w:spacing w:line="360" w:lineRule="auto" w:before="0" w:after="0"/>
              <w:jc w:val="both"/>
            </w:pPr>
            <w:r/>
            <w:r>
              <w:rPr>
                <w:rFonts w:ascii="SimSun" w:hAnsi="SimSun" w:eastAsia="SimSun"/>
                <w:b w:val="0"/>
                <w:sz w:val="21"/>
              </w:rPr>
              <w:t>close/close.shift(21)-1</w:t>
            </w:r>
          </w:p>
        </w:tc>
        <w:tc>
          <w:tcPr>
            <w:tcW w:type="dxa" w:w="2835"/>
            <w:vAlign w:val="center"/>
          </w:tcPr>
          <w:p>
            <w:pPr>
              <w:spacing w:line="360" w:lineRule="auto" w:before="0" w:after="0"/>
              <w:jc w:val="both"/>
            </w:pPr>
            <w:r/>
            <w:r>
              <w:rPr>
                <w:rFonts w:ascii="SimSun" w:hAnsi="SimSun" w:eastAsia="SimSun"/>
                <w:b w:val="0"/>
                <w:sz w:val="21"/>
              </w:rPr>
              <w:t>1 个月动量</w:t>
            </w:r>
          </w:p>
        </w:tc>
      </w:tr>
      <w:tr>
        <w:tc>
          <w:tcPr>
            <w:tcW w:type="dxa" w:w="1417"/>
            <w:vAlign w:val="center"/>
          </w:tcPr>
          <w:p>
            <w:pPr>
              <w:spacing w:line="360" w:lineRule="auto" w:before="0" w:after="0"/>
              <w:jc w:val="both"/>
            </w:pPr>
            <w:r/>
            <w:r>
              <w:rPr>
                <w:rFonts w:ascii="SimSun" w:hAnsi="SimSun" w:eastAsia="SimSun"/>
                <w:b w:val="0"/>
                <w:sz w:val="21"/>
              </w:rPr>
              <w:t>mom_3m</w:t>
            </w:r>
          </w:p>
        </w:tc>
        <w:tc>
          <w:tcPr>
            <w:tcW w:type="dxa" w:w="1020"/>
            <w:vAlign w:val="center"/>
          </w:tcPr>
          <w:p>
            <w:pPr>
              <w:spacing w:line="360" w:lineRule="auto" w:before="0" w:after="0"/>
              <w:jc w:val="both"/>
            </w:pPr>
            <w:r/>
            <w:r>
              <w:rPr>
                <w:rFonts w:ascii="SimSun" w:hAnsi="SimSun" w:eastAsia="SimSun"/>
                <w:b w:val="0"/>
                <w:sz w:val="21"/>
              </w:rPr>
              <w:t>动量</w:t>
            </w:r>
          </w:p>
        </w:tc>
        <w:tc>
          <w:tcPr>
            <w:tcW w:type="dxa" w:w="3118"/>
            <w:vAlign w:val="center"/>
          </w:tcPr>
          <w:p>
            <w:pPr>
              <w:spacing w:line="360" w:lineRule="auto" w:before="0" w:after="0"/>
              <w:jc w:val="both"/>
            </w:pPr>
            <w:r/>
            <w:r>
              <w:rPr>
                <w:rFonts w:ascii="SimSun" w:hAnsi="SimSun" w:eastAsia="SimSun"/>
                <w:b w:val="0"/>
                <w:sz w:val="21"/>
              </w:rPr>
              <w:t>close/close.shift(63)-1</w:t>
            </w:r>
          </w:p>
        </w:tc>
        <w:tc>
          <w:tcPr>
            <w:tcW w:type="dxa" w:w="2835"/>
            <w:vAlign w:val="center"/>
          </w:tcPr>
          <w:p>
            <w:pPr>
              <w:spacing w:line="360" w:lineRule="auto" w:before="0" w:after="0"/>
              <w:jc w:val="both"/>
            </w:pPr>
            <w:r/>
            <w:r>
              <w:rPr>
                <w:rFonts w:ascii="SimSun" w:hAnsi="SimSun" w:eastAsia="SimSun"/>
                <w:b w:val="0"/>
                <w:sz w:val="21"/>
              </w:rPr>
              <w:t>3 个月动量</w:t>
            </w:r>
          </w:p>
        </w:tc>
      </w:tr>
      <w:tr>
        <w:tc>
          <w:tcPr>
            <w:tcW w:type="dxa" w:w="1417"/>
            <w:vAlign w:val="center"/>
          </w:tcPr>
          <w:p>
            <w:pPr>
              <w:spacing w:line="360" w:lineRule="auto" w:before="0" w:after="0"/>
              <w:jc w:val="both"/>
            </w:pPr>
            <w:r/>
            <w:r>
              <w:rPr>
                <w:rFonts w:ascii="SimSun" w:hAnsi="SimSun" w:eastAsia="SimSun"/>
                <w:b w:val="0"/>
                <w:sz w:val="21"/>
              </w:rPr>
              <w:t>mom_12m_1m</w:t>
            </w:r>
          </w:p>
        </w:tc>
        <w:tc>
          <w:tcPr>
            <w:tcW w:type="dxa" w:w="1020"/>
            <w:vAlign w:val="center"/>
          </w:tcPr>
          <w:p>
            <w:pPr>
              <w:spacing w:line="360" w:lineRule="auto" w:before="0" w:after="0"/>
              <w:jc w:val="both"/>
            </w:pPr>
            <w:r/>
            <w:r>
              <w:rPr>
                <w:rFonts w:ascii="SimSun" w:hAnsi="SimSun" w:eastAsia="SimSun"/>
                <w:b w:val="0"/>
                <w:sz w:val="21"/>
              </w:rPr>
              <w:t>动量</w:t>
            </w:r>
          </w:p>
        </w:tc>
        <w:tc>
          <w:tcPr>
            <w:tcW w:type="dxa" w:w="3118"/>
            <w:vAlign w:val="center"/>
          </w:tcPr>
          <w:p>
            <w:pPr>
              <w:spacing w:line="360" w:lineRule="auto" w:before="0" w:after="0"/>
              <w:jc w:val="both"/>
            </w:pPr>
            <w:r/>
            <w:r>
              <w:rPr>
                <w:rFonts w:ascii="SimSun" w:hAnsi="SimSun" w:eastAsia="SimSun"/>
                <w:b w:val="0"/>
                <w:sz w:val="21"/>
              </w:rPr>
              <w:t>close.shift(21)/close.shift(252)-1</w:t>
            </w:r>
          </w:p>
        </w:tc>
        <w:tc>
          <w:tcPr>
            <w:tcW w:type="dxa" w:w="2835"/>
            <w:vAlign w:val="center"/>
          </w:tcPr>
          <w:p>
            <w:pPr>
              <w:spacing w:line="360" w:lineRule="auto" w:before="0" w:after="0"/>
              <w:jc w:val="both"/>
            </w:pPr>
            <w:r/>
            <w:r>
              <w:rPr>
                <w:rFonts w:ascii="SimSun" w:hAnsi="SimSun" w:eastAsia="SimSun"/>
                <w:b w:val="0"/>
                <w:sz w:val="21"/>
              </w:rPr>
              <w:t>12 月-1 月动量</w:t>
            </w:r>
          </w:p>
        </w:tc>
      </w:tr>
      <w:tr>
        <w:tc>
          <w:tcPr>
            <w:tcW w:type="dxa" w:w="1417"/>
            <w:vAlign w:val="center"/>
          </w:tcPr>
          <w:p>
            <w:pPr>
              <w:spacing w:line="360" w:lineRule="auto" w:before="0" w:after="0"/>
              <w:jc w:val="both"/>
            </w:pPr>
            <w:r/>
            <w:r>
              <w:rPr>
                <w:rFonts w:ascii="SimSun" w:hAnsi="SimSun" w:eastAsia="SimSun"/>
                <w:b w:val="0"/>
                <w:sz w:val="21"/>
              </w:rPr>
              <w:t>reversal_5d</w:t>
            </w:r>
          </w:p>
        </w:tc>
        <w:tc>
          <w:tcPr>
            <w:tcW w:type="dxa" w:w="1020"/>
            <w:vAlign w:val="center"/>
          </w:tcPr>
          <w:p>
            <w:pPr>
              <w:spacing w:line="360" w:lineRule="auto" w:before="0" w:after="0"/>
              <w:jc w:val="both"/>
            </w:pPr>
            <w:r/>
            <w:r>
              <w:rPr>
                <w:rFonts w:ascii="SimSun" w:hAnsi="SimSun" w:eastAsia="SimSun"/>
                <w:b w:val="0"/>
                <w:sz w:val="21"/>
              </w:rPr>
              <w:t>反转</w:t>
            </w:r>
          </w:p>
        </w:tc>
        <w:tc>
          <w:tcPr>
            <w:tcW w:type="dxa" w:w="3118"/>
            <w:vAlign w:val="center"/>
          </w:tcPr>
          <w:p>
            <w:pPr>
              <w:spacing w:line="360" w:lineRule="auto" w:before="0" w:after="0"/>
              <w:jc w:val="both"/>
            </w:pPr>
            <w:r/>
            <w:r>
              <w:rPr>
                <w:rFonts w:ascii="SimSun" w:hAnsi="SimSun" w:eastAsia="SimSun"/>
                <w:b w:val="0"/>
                <w:sz w:val="21"/>
              </w:rPr>
              <w:t>-ret.rolling(5).sum()</w:t>
            </w:r>
          </w:p>
        </w:tc>
        <w:tc>
          <w:tcPr>
            <w:tcW w:type="dxa" w:w="2835"/>
            <w:vAlign w:val="center"/>
          </w:tcPr>
          <w:p>
            <w:pPr>
              <w:spacing w:line="360" w:lineRule="auto" w:before="0" w:after="0"/>
              <w:jc w:val="both"/>
            </w:pPr>
            <w:r/>
            <w:r>
              <w:rPr>
                <w:rFonts w:ascii="SimSun" w:hAnsi="SimSun" w:eastAsia="SimSun"/>
                <w:b w:val="0"/>
                <w:sz w:val="21"/>
              </w:rPr>
              <w:t>5 日反转（短期均值回复）</w:t>
            </w:r>
          </w:p>
        </w:tc>
      </w:tr>
      <w:tr>
        <w:tc>
          <w:tcPr>
            <w:tcW w:type="dxa" w:w="1417"/>
            <w:vAlign w:val="center"/>
          </w:tcPr>
          <w:p>
            <w:pPr>
              <w:spacing w:line="360" w:lineRule="auto" w:before="0" w:after="0"/>
              <w:jc w:val="both"/>
            </w:pPr>
            <w:r/>
            <w:r>
              <w:rPr>
                <w:rFonts w:ascii="SimSun" w:hAnsi="SimSun" w:eastAsia="SimSun"/>
                <w:b w:val="0"/>
                <w:sz w:val="21"/>
              </w:rPr>
              <w:t>turn_20d</w:t>
            </w:r>
          </w:p>
        </w:tc>
        <w:tc>
          <w:tcPr>
            <w:tcW w:type="dxa" w:w="1020"/>
            <w:vAlign w:val="center"/>
          </w:tcPr>
          <w:p>
            <w:pPr>
              <w:spacing w:line="360" w:lineRule="auto" w:before="0" w:after="0"/>
              <w:jc w:val="both"/>
            </w:pPr>
            <w:r/>
            <w:r>
              <w:rPr>
                <w:rFonts w:ascii="SimSun" w:hAnsi="SimSun" w:eastAsia="SimSun"/>
                <w:b w:val="0"/>
                <w:sz w:val="21"/>
              </w:rPr>
              <w:t>流动性</w:t>
            </w:r>
          </w:p>
        </w:tc>
        <w:tc>
          <w:tcPr>
            <w:tcW w:type="dxa" w:w="3118"/>
            <w:vAlign w:val="center"/>
          </w:tcPr>
          <w:p>
            <w:pPr>
              <w:spacing w:line="360" w:lineRule="auto" w:before="0" w:after="0"/>
              <w:jc w:val="both"/>
            </w:pPr>
            <w:r/>
            <w:r>
              <w:rPr>
                <w:rFonts w:ascii="SimSun" w:hAnsi="SimSun" w:eastAsia="SimSun"/>
                <w:b w:val="0"/>
                <w:sz w:val="21"/>
              </w:rPr>
              <w:t>vol.rolling(20).mean()</w:t>
            </w:r>
          </w:p>
        </w:tc>
        <w:tc>
          <w:tcPr>
            <w:tcW w:type="dxa" w:w="2835"/>
            <w:vAlign w:val="center"/>
          </w:tcPr>
          <w:p>
            <w:pPr>
              <w:spacing w:line="360" w:lineRule="auto" w:before="0" w:after="0"/>
              <w:jc w:val="both"/>
            </w:pPr>
            <w:r/>
            <w:r>
              <w:rPr>
                <w:rFonts w:ascii="SimSun" w:hAnsi="SimSun" w:eastAsia="SimSun"/>
                <w:b w:val="0"/>
                <w:sz w:val="21"/>
              </w:rPr>
              <w:t>20 日均量（流动性）</w:t>
            </w:r>
          </w:p>
        </w:tc>
      </w:tr>
      <w:tr>
        <w:tc>
          <w:tcPr>
            <w:tcW w:type="dxa" w:w="1417"/>
            <w:vAlign w:val="center"/>
          </w:tcPr>
          <w:p>
            <w:pPr>
              <w:spacing w:line="360" w:lineRule="auto" w:before="0" w:after="0"/>
              <w:jc w:val="both"/>
            </w:pPr>
            <w:r/>
            <w:r>
              <w:rPr>
                <w:rFonts w:ascii="SimSun" w:hAnsi="SimSun" w:eastAsia="SimSun"/>
                <w:b w:val="0"/>
                <w:sz w:val="21"/>
              </w:rPr>
              <w:t>vol_ratio</w:t>
            </w:r>
          </w:p>
        </w:tc>
        <w:tc>
          <w:tcPr>
            <w:tcW w:type="dxa" w:w="1020"/>
            <w:vAlign w:val="center"/>
          </w:tcPr>
          <w:p>
            <w:pPr>
              <w:spacing w:line="360" w:lineRule="auto" w:before="0" w:after="0"/>
              <w:jc w:val="both"/>
            </w:pPr>
            <w:r/>
            <w:r>
              <w:rPr>
                <w:rFonts w:ascii="SimSun" w:hAnsi="SimSun" w:eastAsia="SimSun"/>
                <w:b w:val="0"/>
                <w:sz w:val="21"/>
              </w:rPr>
              <w:t>量比</w:t>
            </w:r>
          </w:p>
        </w:tc>
        <w:tc>
          <w:tcPr>
            <w:tcW w:type="dxa" w:w="3118"/>
            <w:vAlign w:val="center"/>
          </w:tcPr>
          <w:p>
            <w:pPr>
              <w:spacing w:line="360" w:lineRule="auto" w:before="0" w:after="0"/>
              <w:jc w:val="both"/>
            </w:pPr>
            <w:r/>
            <w:r>
              <w:rPr>
                <w:rFonts w:ascii="SimSun" w:hAnsi="SimSun" w:eastAsia="SimSun"/>
                <w:b w:val="0"/>
                <w:sz w:val="21"/>
              </w:rPr>
              <w:t>vol.rolling(5).mean()/vol.rolling(20).mean()</w:t>
            </w:r>
          </w:p>
        </w:tc>
        <w:tc>
          <w:tcPr>
            <w:tcW w:type="dxa" w:w="2835"/>
            <w:vAlign w:val="center"/>
          </w:tcPr>
          <w:p>
            <w:pPr>
              <w:spacing w:line="360" w:lineRule="auto" w:before="0" w:after="0"/>
              <w:jc w:val="both"/>
            </w:pPr>
            <w:r/>
            <w:r>
              <w:rPr>
                <w:rFonts w:ascii="SimSun" w:hAnsi="SimSun" w:eastAsia="SimSun"/>
                <w:b w:val="0"/>
                <w:sz w:val="21"/>
              </w:rPr>
              <w:t>5/20 日量比（短期放量）</w:t>
            </w:r>
          </w:p>
        </w:tc>
      </w:tr>
      <w:tr>
        <w:tc>
          <w:tcPr>
            <w:tcW w:type="dxa" w:w="1417"/>
            <w:vAlign w:val="center"/>
          </w:tcPr>
          <w:p>
            <w:pPr>
              <w:spacing w:line="360" w:lineRule="auto" w:before="0" w:after="0"/>
              <w:jc w:val="both"/>
            </w:pPr>
            <w:r/>
            <w:r>
              <w:rPr>
                <w:rFonts w:ascii="SimSun" w:hAnsi="SimSun" w:eastAsia="SimSun"/>
                <w:b w:val="0"/>
                <w:sz w:val="21"/>
              </w:rPr>
              <w:t>vol_20d</w:t>
            </w:r>
          </w:p>
        </w:tc>
        <w:tc>
          <w:tcPr>
            <w:tcW w:type="dxa" w:w="1020"/>
            <w:vAlign w:val="center"/>
          </w:tcPr>
          <w:p>
            <w:pPr>
              <w:spacing w:line="360" w:lineRule="auto" w:before="0" w:after="0"/>
              <w:jc w:val="both"/>
            </w:pPr>
            <w:r/>
            <w:r>
              <w:rPr>
                <w:rFonts w:ascii="SimSun" w:hAnsi="SimSun" w:eastAsia="SimSun"/>
                <w:b w:val="0"/>
                <w:sz w:val="21"/>
              </w:rPr>
              <w:t>波动率</w:t>
            </w:r>
          </w:p>
        </w:tc>
        <w:tc>
          <w:tcPr>
            <w:tcW w:type="dxa" w:w="3118"/>
            <w:vAlign w:val="center"/>
          </w:tcPr>
          <w:p>
            <w:pPr>
              <w:spacing w:line="360" w:lineRule="auto" w:before="0" w:after="0"/>
              <w:jc w:val="both"/>
            </w:pPr>
            <w:r/>
            <w:r>
              <w:rPr>
                <w:rFonts w:ascii="SimSun" w:hAnsi="SimSun" w:eastAsia="SimSun"/>
                <w:b w:val="0"/>
                <w:sz w:val="21"/>
              </w:rPr>
              <w:t>ret.rolling(20).std()</w:t>
            </w:r>
          </w:p>
        </w:tc>
        <w:tc>
          <w:tcPr>
            <w:tcW w:type="dxa" w:w="2835"/>
            <w:vAlign w:val="center"/>
          </w:tcPr>
          <w:p>
            <w:pPr>
              <w:spacing w:line="360" w:lineRule="auto" w:before="0" w:after="0"/>
              <w:jc w:val="both"/>
            </w:pPr>
            <w:r/>
            <w:r>
              <w:rPr>
                <w:rFonts w:ascii="SimSun" w:hAnsi="SimSun" w:eastAsia="SimSun"/>
                <w:b w:val="0"/>
                <w:sz w:val="21"/>
              </w:rPr>
              <w:t>20 日波动率</w:t>
            </w:r>
          </w:p>
        </w:tc>
      </w:tr>
      <w:tr>
        <w:tc>
          <w:tcPr>
            <w:tcW w:type="dxa" w:w="1417"/>
            <w:vAlign w:val="center"/>
          </w:tcPr>
          <w:p>
            <w:pPr>
              <w:spacing w:line="360" w:lineRule="auto" w:before="0" w:after="0"/>
              <w:jc w:val="both"/>
            </w:pPr>
            <w:r/>
            <w:r>
              <w:rPr>
                <w:rFonts w:ascii="SimSun" w:hAnsi="SimSun" w:eastAsia="SimSun"/>
                <w:b w:val="0"/>
                <w:sz w:val="21"/>
              </w:rPr>
              <w:t>vol_5d</w:t>
            </w:r>
          </w:p>
        </w:tc>
        <w:tc>
          <w:tcPr>
            <w:tcW w:type="dxa" w:w="1020"/>
            <w:vAlign w:val="center"/>
          </w:tcPr>
          <w:p>
            <w:pPr>
              <w:spacing w:line="360" w:lineRule="auto" w:before="0" w:after="0"/>
              <w:jc w:val="both"/>
            </w:pPr>
            <w:r/>
            <w:r>
              <w:rPr>
                <w:rFonts w:ascii="SimSun" w:hAnsi="SimSun" w:eastAsia="SimSun"/>
                <w:b w:val="0"/>
                <w:sz w:val="21"/>
              </w:rPr>
              <w:t>波动率</w:t>
            </w:r>
          </w:p>
        </w:tc>
        <w:tc>
          <w:tcPr>
            <w:tcW w:type="dxa" w:w="3118"/>
            <w:vAlign w:val="center"/>
          </w:tcPr>
          <w:p>
            <w:pPr>
              <w:spacing w:line="360" w:lineRule="auto" w:before="0" w:after="0"/>
              <w:jc w:val="both"/>
            </w:pPr>
            <w:r/>
            <w:r>
              <w:rPr>
                <w:rFonts w:ascii="SimSun" w:hAnsi="SimSun" w:eastAsia="SimSun"/>
                <w:b w:val="0"/>
                <w:sz w:val="21"/>
              </w:rPr>
              <w:t>ret.rolling(5).std()</w:t>
            </w:r>
          </w:p>
        </w:tc>
        <w:tc>
          <w:tcPr>
            <w:tcW w:type="dxa" w:w="2835"/>
            <w:vAlign w:val="center"/>
          </w:tcPr>
          <w:p>
            <w:pPr>
              <w:spacing w:line="360" w:lineRule="auto" w:before="0" w:after="0"/>
              <w:jc w:val="both"/>
            </w:pPr>
            <w:r/>
            <w:r>
              <w:rPr>
                <w:rFonts w:ascii="SimSun" w:hAnsi="SimSun" w:eastAsia="SimSun"/>
                <w:b w:val="0"/>
                <w:sz w:val="21"/>
              </w:rPr>
              <w:t>5 日波动率</w:t>
            </w:r>
          </w:p>
        </w:tc>
      </w:tr>
      <w:tr>
        <w:tc>
          <w:tcPr>
            <w:tcW w:type="dxa" w:w="1417"/>
            <w:vAlign w:val="center"/>
          </w:tcPr>
          <w:p>
            <w:pPr>
              <w:spacing w:line="360" w:lineRule="auto" w:before="0" w:after="0"/>
              <w:jc w:val="both"/>
            </w:pPr>
            <w:r/>
            <w:r>
              <w:rPr>
                <w:rFonts w:ascii="SimSun" w:hAnsi="SimSun" w:eastAsia="SimSun"/>
                <w:b w:val="0"/>
                <w:sz w:val="21"/>
              </w:rPr>
              <w:t>vol_change</w:t>
            </w:r>
          </w:p>
        </w:tc>
        <w:tc>
          <w:tcPr>
            <w:tcW w:type="dxa" w:w="1020"/>
            <w:vAlign w:val="center"/>
          </w:tcPr>
          <w:p>
            <w:pPr>
              <w:spacing w:line="360" w:lineRule="auto" w:before="0" w:after="0"/>
              <w:jc w:val="both"/>
            </w:pPr>
            <w:r/>
            <w:r>
              <w:rPr>
                <w:rFonts w:ascii="SimSun" w:hAnsi="SimSun" w:eastAsia="SimSun"/>
                <w:b w:val="0"/>
                <w:sz w:val="21"/>
              </w:rPr>
              <w:t>波动率</w:t>
            </w:r>
          </w:p>
        </w:tc>
        <w:tc>
          <w:tcPr>
            <w:tcW w:type="dxa" w:w="3118"/>
            <w:vAlign w:val="center"/>
          </w:tcPr>
          <w:p>
            <w:pPr>
              <w:spacing w:line="360" w:lineRule="auto" w:before="0" w:after="0"/>
              <w:jc w:val="both"/>
            </w:pPr>
            <w:r/>
            <w:r>
              <w:rPr>
                <w:rFonts w:ascii="SimSun" w:hAnsi="SimSun" w:eastAsia="SimSun"/>
                <w:b w:val="0"/>
                <w:sz w:val="21"/>
              </w:rPr>
              <w:t>vol_5d - vol_20d</w:t>
            </w:r>
          </w:p>
        </w:tc>
        <w:tc>
          <w:tcPr>
            <w:tcW w:type="dxa" w:w="2835"/>
            <w:vAlign w:val="center"/>
          </w:tcPr>
          <w:p>
            <w:pPr>
              <w:spacing w:line="360" w:lineRule="auto" w:before="0" w:after="0"/>
              <w:jc w:val="both"/>
            </w:pPr>
            <w:r/>
            <w:r>
              <w:rPr>
                <w:rFonts w:ascii="SimSun" w:hAnsi="SimSun" w:eastAsia="SimSun"/>
                <w:b w:val="0"/>
                <w:sz w:val="21"/>
              </w:rPr>
              <w:t>波动率变化</w:t>
            </w:r>
          </w:p>
        </w:tc>
      </w:tr>
      <w:tr>
        <w:tc>
          <w:tcPr>
            <w:tcW w:type="dxa" w:w="1417"/>
            <w:vAlign w:val="center"/>
          </w:tcPr>
          <w:p>
            <w:pPr>
              <w:spacing w:line="360" w:lineRule="auto" w:before="0" w:after="0"/>
              <w:jc w:val="both"/>
            </w:pPr>
            <w:r/>
            <w:r>
              <w:rPr>
                <w:rFonts w:ascii="SimSun" w:hAnsi="SimSun" w:eastAsia="SimSun"/>
                <w:b w:val="0"/>
                <w:sz w:val="21"/>
              </w:rPr>
              <w:t>ma_bias_20</w:t>
            </w:r>
          </w:p>
        </w:tc>
        <w:tc>
          <w:tcPr>
            <w:tcW w:type="dxa" w:w="1020"/>
            <w:vAlign w:val="center"/>
          </w:tcPr>
          <w:p>
            <w:pPr>
              <w:spacing w:line="360" w:lineRule="auto" w:before="0" w:after="0"/>
              <w:jc w:val="both"/>
            </w:pPr>
            <w:r/>
            <w:r>
              <w:rPr>
                <w:rFonts w:ascii="SimSun" w:hAnsi="SimSun" w:eastAsia="SimSun"/>
                <w:b w:val="0"/>
                <w:sz w:val="21"/>
              </w:rPr>
              <w:t>技术</w:t>
            </w:r>
          </w:p>
        </w:tc>
        <w:tc>
          <w:tcPr>
            <w:tcW w:type="dxa" w:w="3118"/>
            <w:vAlign w:val="center"/>
          </w:tcPr>
          <w:p>
            <w:pPr>
              <w:spacing w:line="360" w:lineRule="auto" w:before="0" w:after="0"/>
              <w:jc w:val="both"/>
            </w:pPr>
            <w:r/>
            <w:r>
              <w:rPr>
                <w:rFonts w:ascii="SimSun" w:hAnsi="SimSun" w:eastAsia="SimSun"/>
                <w:b w:val="0"/>
                <w:sz w:val="21"/>
              </w:rPr>
              <w:t>close/MA20-1</w:t>
            </w:r>
          </w:p>
        </w:tc>
        <w:tc>
          <w:tcPr>
            <w:tcW w:type="dxa" w:w="2835"/>
            <w:vAlign w:val="center"/>
          </w:tcPr>
          <w:p>
            <w:pPr>
              <w:spacing w:line="360" w:lineRule="auto" w:before="0" w:after="0"/>
              <w:jc w:val="both"/>
            </w:pPr>
            <w:r/>
            <w:r>
              <w:rPr>
                <w:rFonts w:ascii="SimSun" w:hAnsi="SimSun" w:eastAsia="SimSun"/>
                <w:b w:val="0"/>
                <w:sz w:val="21"/>
              </w:rPr>
              <w:t>20 日均线乖离率</w:t>
            </w:r>
          </w:p>
        </w:tc>
      </w:tr>
      <w:tr>
        <w:tc>
          <w:tcPr>
            <w:tcW w:type="dxa" w:w="1417"/>
            <w:vAlign w:val="center"/>
          </w:tcPr>
          <w:p>
            <w:pPr>
              <w:spacing w:line="360" w:lineRule="auto" w:before="0" w:after="0"/>
              <w:jc w:val="both"/>
            </w:pPr>
            <w:r/>
            <w:r>
              <w:rPr>
                <w:rFonts w:ascii="SimSun" w:hAnsi="SimSun" w:eastAsia="SimSun"/>
                <w:b w:val="0"/>
                <w:sz w:val="21"/>
              </w:rPr>
              <w:t>rsi_14</w:t>
            </w:r>
          </w:p>
        </w:tc>
        <w:tc>
          <w:tcPr>
            <w:tcW w:type="dxa" w:w="1020"/>
            <w:vAlign w:val="center"/>
          </w:tcPr>
          <w:p>
            <w:pPr>
              <w:spacing w:line="360" w:lineRule="auto" w:before="0" w:after="0"/>
              <w:jc w:val="both"/>
            </w:pPr>
            <w:r/>
            <w:r>
              <w:rPr>
                <w:rFonts w:ascii="SimSun" w:hAnsi="SimSun" w:eastAsia="SimSun"/>
                <w:b w:val="0"/>
                <w:sz w:val="21"/>
              </w:rPr>
              <w:t>技术</w:t>
            </w:r>
          </w:p>
        </w:tc>
        <w:tc>
          <w:tcPr>
            <w:tcW w:type="dxa" w:w="3118"/>
            <w:vAlign w:val="center"/>
          </w:tcPr>
          <w:p>
            <w:pPr>
              <w:spacing w:line="360" w:lineRule="auto" w:before="0" w:after="0"/>
              <w:jc w:val="both"/>
            </w:pPr>
            <w:r/>
            <w:r>
              <w:rPr>
                <w:rFonts w:ascii="SimSun" w:hAnsi="SimSun" w:eastAsia="SimSun"/>
                <w:b w:val="0"/>
                <w:sz w:val="21"/>
              </w:rPr>
              <w:t>14 日 RSI 指标</w:t>
            </w:r>
          </w:p>
        </w:tc>
        <w:tc>
          <w:tcPr>
            <w:tcW w:type="dxa" w:w="2835"/>
            <w:vAlign w:val="center"/>
          </w:tcPr>
          <w:p>
            <w:pPr>
              <w:spacing w:line="360" w:lineRule="auto" w:before="0" w:after="0"/>
              <w:jc w:val="both"/>
            </w:pPr>
            <w:r/>
            <w:r>
              <w:rPr>
                <w:rFonts w:ascii="SimSun" w:hAnsi="SimSun" w:eastAsia="SimSun"/>
                <w:b w:val="0"/>
                <w:sz w:val="21"/>
              </w:rPr>
              <w:t>相对强弱指数</w:t>
            </w:r>
          </w:p>
        </w:tc>
      </w:tr>
      <w:tr>
        <w:tc>
          <w:tcPr>
            <w:tcW w:type="dxa" w:w="1417"/>
            <w:vAlign w:val="center"/>
          </w:tcPr>
          <w:p>
            <w:pPr>
              <w:spacing w:line="360" w:lineRule="auto" w:before="0" w:after="0"/>
              <w:jc w:val="both"/>
            </w:pPr>
            <w:r/>
            <w:r>
              <w:rPr>
                <w:rFonts w:ascii="SimSun" w:hAnsi="SimSun" w:eastAsia="SimSun"/>
                <w:b w:val="0"/>
                <w:sz w:val="21"/>
              </w:rPr>
              <w:t>bb_pos</w:t>
            </w:r>
          </w:p>
        </w:tc>
        <w:tc>
          <w:tcPr>
            <w:tcW w:type="dxa" w:w="1020"/>
            <w:vAlign w:val="center"/>
          </w:tcPr>
          <w:p>
            <w:pPr>
              <w:spacing w:line="360" w:lineRule="auto" w:before="0" w:after="0"/>
              <w:jc w:val="both"/>
            </w:pPr>
            <w:r/>
            <w:r>
              <w:rPr>
                <w:rFonts w:ascii="SimSun" w:hAnsi="SimSun" w:eastAsia="SimSun"/>
                <w:b w:val="0"/>
                <w:sz w:val="21"/>
              </w:rPr>
              <w:t>技术</w:t>
            </w:r>
          </w:p>
        </w:tc>
        <w:tc>
          <w:tcPr>
            <w:tcW w:type="dxa" w:w="3118"/>
            <w:vAlign w:val="center"/>
          </w:tcPr>
          <w:p>
            <w:pPr>
              <w:spacing w:line="360" w:lineRule="auto" w:before="0" w:after="0"/>
              <w:jc w:val="both"/>
            </w:pPr>
            <w:r/>
            <w:r>
              <w:rPr>
                <w:rFonts w:ascii="SimSun" w:hAnsi="SimSun" w:eastAsia="SimSun"/>
                <w:b w:val="0"/>
                <w:sz w:val="21"/>
              </w:rPr>
              <w:t>(close-MA20)/(2*STD20)</w:t>
            </w:r>
          </w:p>
        </w:tc>
        <w:tc>
          <w:tcPr>
            <w:tcW w:type="dxa" w:w="2835"/>
            <w:vAlign w:val="center"/>
          </w:tcPr>
          <w:p>
            <w:pPr>
              <w:spacing w:line="360" w:lineRule="auto" w:before="0" w:after="0"/>
              <w:jc w:val="both"/>
            </w:pPr>
            <w:r/>
            <w:r>
              <w:rPr>
                <w:rFonts w:ascii="SimSun" w:hAnsi="SimSun" w:eastAsia="SimSun"/>
                <w:b w:val="0"/>
                <w:sz w:val="21"/>
              </w:rPr>
              <w:t>布林带位置</w:t>
            </w:r>
          </w:p>
        </w:tc>
      </w:tr>
      <w:tr>
        <w:tc>
          <w:tcPr>
            <w:tcW w:type="dxa" w:w="1417"/>
            <w:vAlign w:val="center"/>
          </w:tcPr>
          <w:p>
            <w:pPr>
              <w:spacing w:line="360" w:lineRule="auto" w:before="0" w:after="0"/>
              <w:jc w:val="both"/>
            </w:pPr>
            <w:r/>
            <w:r>
              <w:rPr>
                <w:rFonts w:ascii="SimSun" w:hAnsi="SimSun" w:eastAsia="SimSun"/>
                <w:b w:val="0"/>
                <w:sz w:val="21"/>
              </w:rPr>
              <w:t>ln_market_cap</w:t>
            </w:r>
          </w:p>
        </w:tc>
        <w:tc>
          <w:tcPr>
            <w:tcW w:type="dxa" w:w="1020"/>
            <w:vAlign w:val="center"/>
          </w:tcPr>
          <w:p>
            <w:pPr>
              <w:spacing w:line="360" w:lineRule="auto" w:before="0" w:after="0"/>
              <w:jc w:val="both"/>
            </w:pPr>
            <w:r/>
            <w:r>
              <w:rPr>
                <w:rFonts w:ascii="SimSun" w:hAnsi="SimSun" w:eastAsia="SimSun"/>
                <w:b w:val="0"/>
                <w:sz w:val="21"/>
              </w:rPr>
              <w:t>规模</w:t>
            </w:r>
          </w:p>
        </w:tc>
        <w:tc>
          <w:tcPr>
            <w:tcW w:type="dxa" w:w="3118"/>
            <w:vAlign w:val="center"/>
          </w:tcPr>
          <w:p>
            <w:pPr>
              <w:spacing w:line="360" w:lineRule="auto" w:before="0" w:after="0"/>
              <w:jc w:val="both"/>
            </w:pPr>
            <w:r/>
            <w:r>
              <w:rPr>
                <w:rFonts w:ascii="SimSun" w:hAnsi="SimSun" w:eastAsia="SimSun"/>
                <w:b w:val="0"/>
                <w:sz w:val="21"/>
              </w:rPr>
              <w:t>ln(close*vol*100+1)</w:t>
            </w:r>
          </w:p>
        </w:tc>
        <w:tc>
          <w:tcPr>
            <w:tcW w:type="dxa" w:w="2835"/>
            <w:vAlign w:val="center"/>
          </w:tcPr>
          <w:p>
            <w:pPr>
              <w:spacing w:line="360" w:lineRule="auto" w:before="0" w:after="0"/>
              <w:jc w:val="both"/>
            </w:pPr>
            <w:r/>
            <w:r>
              <w:rPr>
                <w:rFonts w:ascii="SimSun" w:hAnsi="SimSun" w:eastAsia="SimSun"/>
                <w:b w:val="0"/>
                <w:sz w:val="21"/>
              </w:rPr>
              <w:t>市值代理（近似）</w:t>
            </w:r>
          </w:p>
        </w:tc>
      </w:tr>
    </w:tbl>
    <w:p/>
    <w:p>
      <w:pPr>
        <w:spacing w:line="360" w:lineRule="auto" w:before="0" w:after="120"/>
        <w:jc w:val="center"/>
      </w:pPr>
      <w:r>
        <w:rPr>
          <w:rFonts w:ascii="SimSun" w:hAnsi="SimSun" w:eastAsia="SimSun"/>
          <w:b w:val="0"/>
          <w:sz w:val="21"/>
        </w:rPr>
        <w:t>表 1：12 个自变量因子定义</w:t>
      </w:r>
    </w:p>
    <w:p>
      <w:pPr>
        <w:spacing w:line="360" w:lineRule="auto" w:before="0" w:after="0"/>
        <w:ind w:firstLine="839"/>
        <w:jc w:val="both"/>
      </w:pPr>
      <w:r>
        <w:rPr>
          <w:rFonts w:ascii="SimSun" w:hAnsi="SimSun" w:eastAsia="SimSun"/>
          <w:b w:val="0"/>
          <w:sz w:val="21"/>
        </w:rPr>
        <w:t>应变量定义为下季度实际收益率：y = adj_close[t+1] / adj_close[t] - 1，其中 t 为季度末交易日。面板数据按 quarter_str × ts_code 组织，每一行表示某只股票在某个季度末的因子快照和未来一季度的实际收益。</w:t>
      </w:r>
    </w:p>
    <w:p>
      <w:pPr>
        <w:spacing w:line="360" w:lineRule="auto" w:before="0" w:after="0"/>
        <w:ind w:firstLine="839"/>
        <w:jc w:val="both"/>
      </w:pPr>
      <w:r>
        <w:rPr>
          <w:rFonts w:ascii="SimSun" w:hAnsi="SimSun" w:eastAsia="SimSun"/>
          <w:b w:val="0"/>
          <w:sz w:val="21"/>
        </w:rPr>
        <w:t>为消除异常值和量纲影响，在截面维度对每个因子进行 1%/99% 分位数缩尾和 z-score 标准化处理，确保不同因子之间具有可比性。处理后得到的面板共包含约 3,900 条样本，跨 2015 Q1 至 2024 Q3 共 39 个季度，100 只股票（部分新股上市较晚的股票在前期存在空缺）。</w:t>
      </w:r>
    </w:p>
    <w:p>
      <w:pPr>
        <w:spacing w:line="360" w:lineRule="auto" w:before="200" w:after="100"/>
        <w:jc w:val="left"/>
      </w:pPr>
      <w:r>
        <w:rPr>
          <w:rFonts w:ascii="SimHei" w:hAnsi="SimHei" w:eastAsia="SimHei"/>
          <w:b/>
          <w:sz w:val="28"/>
        </w:rPr>
        <w:t>4.3 训练集与测试集划分</w:t>
      </w:r>
    </w:p>
    <w:p>
      <w:pPr>
        <w:spacing w:line="360" w:lineRule="auto" w:before="0" w:after="0"/>
        <w:ind w:firstLine="839"/>
        <w:jc w:val="both"/>
      </w:pPr>
      <w:r>
        <w:rPr>
          <w:rFonts w:ascii="SimSun" w:hAnsi="SimSun" w:eastAsia="SimSun"/>
          <w:b w:val="0"/>
          <w:sz w:val="21"/>
        </w:rPr>
        <w:t>金融时间序列具有强时序性，严禁使用随机划分（train_test_split）打乱时间顺序，否则会引入前视偏差导致模型评估严重高估。本研究采用按时间窗口的滚动划分方式：</w:t>
      </w:r>
    </w:p>
    <w:p>
      <w:pPr>
        <w:spacing w:line="360" w:lineRule="auto" w:before="0" w:after="0"/>
        <w:ind w:firstLine="839"/>
        <w:jc w:val="both"/>
      </w:pPr>
      <w:r>
        <w:rPr>
          <w:rFonts w:ascii="SimSun" w:hAnsi="SimSun" w:eastAsia="SimSun"/>
          <w:b w:val="0"/>
          <w:sz w:val="21"/>
        </w:rPr>
        <w:t>训练集：2015 Q1 - 2020 Q4，共 24 个季度，用于模型训练和参数学习。</w:t>
      </w:r>
    </w:p>
    <w:p>
      <w:pPr>
        <w:spacing w:line="360" w:lineRule="auto" w:before="0" w:after="0"/>
        <w:ind w:firstLine="839"/>
        <w:jc w:val="both"/>
      </w:pPr>
      <w:r>
        <w:rPr>
          <w:rFonts w:ascii="SimSun" w:hAnsi="SimSun" w:eastAsia="SimSun"/>
          <w:b w:val="0"/>
          <w:sz w:val="21"/>
        </w:rPr>
        <w:t>测试集：2021 Q1 - 2024 Q3，共 15 个季度，用于样本外评估模型泛化能力。</w:t>
      </w:r>
    </w:p>
    <w:p>
      <w:pPr>
        <w:spacing w:line="360" w:lineRule="auto" w:before="0" w:after="0"/>
        <w:ind w:firstLine="839"/>
        <w:jc w:val="both"/>
      </w:pPr>
      <w:r>
        <w:rPr>
          <w:rFonts w:ascii="SimSun" w:hAnsi="SimSun" w:eastAsia="SimSun"/>
          <w:b w:val="0"/>
          <w:sz w:val="21"/>
        </w:rPr>
        <w:t>这种前店后厂的划分方式完全符合实盘交易的逻辑——用历史数据训练模型，预测未来收益，确保评估结果的真实性和可复现性。</w:t>
      </w:r>
    </w:p>
    <w:p>
      <w:pPr>
        <w:spacing w:line="360" w:lineRule="auto" w:before="200" w:after="100"/>
        <w:jc w:val="left"/>
      </w:pPr>
      <w:r>
        <w:rPr>
          <w:rFonts w:ascii="SimHei" w:hAnsi="SimHei" w:eastAsia="SimHei"/>
          <w:b/>
          <w:sz w:val="28"/>
        </w:rPr>
        <w:t>4.4 模型构建与训练</w:t>
      </w:r>
    </w:p>
    <w:p>
      <w:pPr>
        <w:spacing w:line="360" w:lineRule="auto" w:before="0" w:after="0"/>
        <w:ind w:firstLine="839"/>
        <w:jc w:val="both"/>
      </w:pPr>
      <w:r>
        <w:rPr>
          <w:rFonts w:ascii="SimSun" w:hAnsi="SimSun" w:eastAsia="SimSun"/>
          <w:b w:val="0"/>
          <w:sz w:val="21"/>
        </w:rPr>
        <w:t>本研究选取四类代表性模型进行对比，涵盖从最简单到最复杂的多种学习范式：</w:t>
      </w:r>
    </w:p>
    <w:p>
      <w:pPr>
        <w:spacing w:line="360" w:lineRule="auto" w:before="0" w:after="0"/>
        <w:ind w:firstLine="839"/>
        <w:jc w:val="both"/>
      </w:pPr>
      <w:r>
        <w:rPr>
          <w:rFonts w:ascii="SimSun" w:hAnsi="SimSun" w:eastAsia="SimSun"/>
          <w:b w:val="0"/>
          <w:sz w:val="21"/>
        </w:rPr>
        <w:t>其一，线性回归（Linear Regression）。作为基线模型，假设因子与收益之间是线性关系。其系数可解释为该因子对收益的边际贡献，是检验其他模型是否带来非线性增益的重要参考。</w:t>
      </w:r>
    </w:p>
    <w:p>
      <w:pPr>
        <w:spacing w:line="360" w:lineRule="auto" w:before="0" w:after="0"/>
        <w:ind w:firstLine="839"/>
        <w:jc w:val="both"/>
      </w:pPr>
      <w:r>
        <w:rPr>
          <w:rFonts w:ascii="SimSun" w:hAnsi="SimSun" w:eastAsia="SimSun"/>
          <w:b w:val="0"/>
          <w:sz w:val="21"/>
        </w:rPr>
        <w:t>其二，决策树（Decision Tree）。单棵分类回归树，最大深度设为 5 层以防止过拟合。能自动捕捉因子的非线性分割点，但单棵树的泛化能力有限。</w:t>
      </w:r>
    </w:p>
    <w:p>
      <w:pPr>
        <w:spacing w:line="360" w:lineRule="auto" w:before="0" w:after="0"/>
        <w:ind w:firstLine="839"/>
        <w:jc w:val="both"/>
      </w:pPr>
      <w:r>
        <w:rPr>
          <w:rFonts w:ascii="SimSun" w:hAnsi="SimSun" w:eastAsia="SimSun"/>
          <w:b w:val="0"/>
          <w:sz w:val="21"/>
        </w:rPr>
        <w:t>其三，随机森林（Random Forest）。基于 200 棵决策树的集成模型，每棵树在随机子样本和随机子特征上训练，最终取所有树预测值的平均。能显著降低单棵树的方差，提高泛化能力。</w:t>
      </w:r>
    </w:p>
    <w:p>
      <w:pPr>
        <w:spacing w:line="360" w:lineRule="auto" w:before="0" w:after="0"/>
        <w:ind w:firstLine="839"/>
        <w:jc w:val="both"/>
      </w:pPr>
      <w:r>
        <w:rPr>
          <w:rFonts w:ascii="SimSun" w:hAnsi="SimSun" w:eastAsia="SimSun"/>
          <w:b w:val="0"/>
          <w:sz w:val="21"/>
        </w:rPr>
        <w:t>其四，XGBoost（eXtreme Gradient Boosting）。基于梯度提升树的集成模型，每棵树拟合前一轮的残差，通过加权求和得到最终预测。XGBoost 引入正则化项和二阶导数信息，在多数机器学习竞赛中表现优异。</w:t>
      </w:r>
    </w:p>
    <w:p>
      <w:pPr>
        <w:spacing w:line="360" w:lineRule="auto" w:before="0" w:after="0"/>
        <w:ind w:firstLine="839"/>
        <w:jc w:val="both"/>
      </w:pPr>
      <w:r>
        <w:rPr>
          <w:rFonts w:ascii="SimSun" w:hAnsi="SimSun" w:eastAsia="SimSun"/>
          <w:b w:val="0"/>
          <w:sz w:val="21"/>
        </w:rPr>
        <w:t>所有模型在训练前均使用 StandardScaler 对特征进行标准化（虽然树模型对量纲不敏感，但保证各模型输入一致，便于系数比较）。训练时不使用未来信息（无 data leakage），训练完成后直接对测试集进行预测。</w:t>
      </w:r>
    </w:p>
    <w:p>
      <w:pPr>
        <w:spacing w:line="360" w:lineRule="auto" w:before="200" w:after="100"/>
        <w:jc w:val="left"/>
      </w:pPr>
      <w:r>
        <w:rPr>
          <w:rFonts w:ascii="SimHei" w:hAnsi="SimHei" w:eastAsia="SimHei"/>
          <w:b/>
          <w:sz w:val="28"/>
        </w:rPr>
        <w:t>4.5 交易策略：季度 Top-30 选股</w:t>
      </w:r>
    </w:p>
    <w:p>
      <w:pPr>
        <w:spacing w:line="360" w:lineRule="auto" w:before="0" w:after="0"/>
        <w:ind w:firstLine="839"/>
        <w:jc w:val="both"/>
      </w:pPr>
      <w:r>
        <w:rPr>
          <w:rFonts w:ascii="SimSun" w:hAnsi="SimSun" w:eastAsia="SimSun"/>
          <w:b w:val="0"/>
          <w:sz w:val="21"/>
        </w:rPr>
        <w:t>基于模型预测结果构建交易策略：每个季度末 t，对所有可交易股票用训练好的模型 f(·) 进行预测打分，得到预测收益 pred_i；将所有股票按 pred_i 从高到低排序，选取前 N = 30 只股票构建等权组合，持有至下季度末 t+1，按当日收盘价卖出，并按新一季的预测结果重新调仓。</w:t>
      </w:r>
    </w:p>
    <w:p>
      <w:pPr>
        <w:spacing w:line="360" w:lineRule="auto" w:before="0" w:after="0"/>
        <w:ind w:firstLine="839"/>
        <w:jc w:val="both"/>
      </w:pPr>
      <w:r>
        <w:rPr>
          <w:rFonts w:ascii="SimSun" w:hAnsi="SimSun" w:eastAsia="SimSun"/>
          <w:b w:val="0"/>
          <w:sz w:val="21"/>
        </w:rPr>
        <w:t>回测规则如下：第一，初始资金 100 万元；第二，调仓日 T+0 按收盘价成交，不考虑交易成本（本研究作为方法论展示，重点关注模型预测能力对收益的贡献）；第三，等权分配，每只股票持仓资金 = 总资金 / 30；第四，调仓期间不进行加减仓操作；第五，基准为同期 100 只股票的等权持有组合。</w:t>
      </w:r>
    </w:p>
    <w:p>
      <w:pPr>
        <w:spacing w:line="360" w:lineRule="auto" w:before="0" w:after="0"/>
        <w:ind w:firstLine="839"/>
        <w:jc w:val="both"/>
      </w:pPr>
      <w:r>
        <w:rPr>
          <w:rFonts w:ascii="SimSun" w:hAnsi="SimSun" w:eastAsia="SimSun"/>
          <w:b w:val="0"/>
          <w:sz w:val="21"/>
        </w:rPr>
        <w:t>回测输出每个季度的组合收益率、累计净值、最大回撤、年化波动率、Sharpe 比率、信息比率（相对基准的超额收益与跟踪误差之比）、季度胜率等核心业绩指标。</w:t>
      </w:r>
    </w:p>
    <w:p>
      <w:pPr>
        <w:spacing w:line="360" w:lineRule="auto" w:before="200" w:after="100"/>
        <w:jc w:val="left"/>
      </w:pPr>
      <w:r>
        <w:rPr>
          <w:rFonts w:ascii="SimHei" w:hAnsi="SimHei" w:eastAsia="SimHei"/>
          <w:b/>
          <w:sz w:val="28"/>
        </w:rPr>
        <w:t>4.6 回测结果</w:t>
      </w:r>
    </w:p>
    <w:p>
      <w:pPr>
        <w:spacing w:line="360" w:lineRule="auto" w:before="0" w:after="0"/>
        <w:ind w:firstLine="839"/>
        <w:jc w:val="both"/>
      </w:pPr>
      <w:r>
        <w:rPr>
          <w:rFonts w:ascii="SimSun" w:hAnsi="SimSun" w:eastAsia="SimSun"/>
          <w:b w:val="0"/>
          <w:sz w:val="21"/>
        </w:rPr>
        <w:t>四类模型在测试集（2021-2024）上的回测业绩汇总见表 2。</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vAlign w:val="center"/>
          </w:tcPr>
          <w:p>
            <w:pPr>
              <w:spacing w:line="360" w:lineRule="auto" w:before="0" w:after="0"/>
              <w:jc w:val="both"/>
            </w:pPr>
            <w:r/>
            <w:r>
              <w:rPr>
                <w:rFonts w:ascii="SimHei" w:hAnsi="SimHei" w:eastAsia="SimHei"/>
                <w:b/>
                <w:sz w:val="21"/>
              </w:rPr>
              <w:t>模型</w:t>
            </w:r>
          </w:p>
        </w:tc>
        <w:tc>
          <w:tcPr>
            <w:tcW w:type="dxa" w:w="1247"/>
            <w:vAlign w:val="center"/>
          </w:tcPr>
          <w:p>
            <w:pPr>
              <w:spacing w:line="360" w:lineRule="auto" w:before="0" w:after="0"/>
              <w:jc w:val="both"/>
            </w:pPr>
            <w:r/>
            <w:r>
              <w:rPr>
                <w:rFonts w:ascii="SimHei" w:hAnsi="SimHei" w:eastAsia="SimHei"/>
                <w:b/>
                <w:sz w:val="21"/>
              </w:rPr>
              <w:t>年化收益</w:t>
            </w:r>
          </w:p>
        </w:tc>
        <w:tc>
          <w:tcPr>
            <w:tcW w:type="dxa" w:w="1247"/>
            <w:vAlign w:val="center"/>
          </w:tcPr>
          <w:p>
            <w:pPr>
              <w:spacing w:line="360" w:lineRule="auto" w:before="0" w:after="0"/>
              <w:jc w:val="both"/>
            </w:pPr>
            <w:r/>
            <w:r>
              <w:rPr>
                <w:rFonts w:ascii="SimHei" w:hAnsi="SimHei" w:eastAsia="SimHei"/>
                <w:b/>
                <w:sz w:val="21"/>
              </w:rPr>
              <w:t>年化波动</w:t>
            </w:r>
          </w:p>
        </w:tc>
        <w:tc>
          <w:tcPr>
            <w:tcW w:type="dxa" w:w="1020"/>
            <w:vAlign w:val="center"/>
          </w:tcPr>
          <w:p>
            <w:pPr>
              <w:spacing w:line="360" w:lineRule="auto" w:before="0" w:after="0"/>
              <w:jc w:val="both"/>
            </w:pPr>
            <w:r/>
            <w:r>
              <w:rPr>
                <w:rFonts w:ascii="SimHei" w:hAnsi="SimHei" w:eastAsia="SimHei"/>
                <w:b/>
                <w:sz w:val="21"/>
              </w:rPr>
              <w:t>Sharpe</w:t>
            </w:r>
          </w:p>
        </w:tc>
        <w:tc>
          <w:tcPr>
            <w:tcW w:type="dxa" w:w="1247"/>
            <w:vAlign w:val="center"/>
          </w:tcPr>
          <w:p>
            <w:pPr>
              <w:spacing w:line="360" w:lineRule="auto" w:before="0" w:after="0"/>
              <w:jc w:val="both"/>
            </w:pPr>
            <w:r/>
            <w:r>
              <w:rPr>
                <w:rFonts w:ascii="SimHei" w:hAnsi="SimHei" w:eastAsia="SimHei"/>
                <w:b/>
                <w:sz w:val="21"/>
              </w:rPr>
              <w:t>最大回撤</w:t>
            </w:r>
          </w:p>
        </w:tc>
        <w:tc>
          <w:tcPr>
            <w:tcW w:type="dxa" w:w="1134"/>
            <w:vAlign w:val="center"/>
          </w:tcPr>
          <w:p>
            <w:pPr>
              <w:spacing w:line="360" w:lineRule="auto" w:before="0" w:after="0"/>
              <w:jc w:val="both"/>
            </w:pPr>
            <w:r/>
            <w:r>
              <w:rPr>
                <w:rFonts w:ascii="SimHei" w:hAnsi="SimHei" w:eastAsia="SimHei"/>
                <w:b/>
                <w:sz w:val="21"/>
              </w:rPr>
              <w:t>季胜率</w:t>
            </w:r>
          </w:p>
        </w:tc>
        <w:tc>
          <w:tcPr>
            <w:tcW w:type="dxa" w:w="1247"/>
            <w:vAlign w:val="center"/>
          </w:tcPr>
          <w:p>
            <w:pPr>
              <w:spacing w:line="360" w:lineRule="auto" w:before="0" w:after="0"/>
              <w:jc w:val="both"/>
            </w:pPr>
            <w:r/>
            <w:r>
              <w:rPr>
                <w:rFonts w:ascii="SimHei" w:hAnsi="SimHei" w:eastAsia="SimHei"/>
                <w:b/>
                <w:sz w:val="21"/>
              </w:rPr>
              <w:t>胜基准率</w:t>
            </w:r>
          </w:p>
        </w:tc>
      </w:tr>
      <w:tr>
        <w:tc>
          <w:tcPr>
            <w:tcW w:type="dxa" w:w="1701"/>
            <w:vAlign w:val="center"/>
          </w:tcPr>
          <w:p>
            <w:pPr>
              <w:spacing w:line="360" w:lineRule="auto" w:before="0" w:after="0"/>
              <w:jc w:val="both"/>
            </w:pPr>
            <w:r/>
            <w:r>
              <w:rPr>
                <w:rFonts w:ascii="SimSun" w:hAnsi="SimSun" w:eastAsia="SimSun"/>
                <w:b w:val="0"/>
                <w:sz w:val="21"/>
              </w:rPr>
              <w:t>Linear Regression</w:t>
            </w:r>
          </w:p>
        </w:tc>
        <w:tc>
          <w:tcPr>
            <w:tcW w:type="dxa" w:w="1247"/>
            <w:vAlign w:val="center"/>
          </w:tcPr>
          <w:p>
            <w:pPr>
              <w:spacing w:line="360" w:lineRule="auto" w:before="0" w:after="0"/>
              <w:jc w:val="both"/>
            </w:pPr>
            <w:r/>
            <w:r>
              <w:rPr>
                <w:rFonts w:ascii="SimSun" w:hAnsi="SimSun" w:eastAsia="SimSun"/>
                <w:b w:val="0"/>
                <w:sz w:val="21"/>
              </w:rPr>
              <w:t>-3.83%</w:t>
            </w:r>
          </w:p>
        </w:tc>
        <w:tc>
          <w:tcPr>
            <w:tcW w:type="dxa" w:w="1247"/>
            <w:vAlign w:val="center"/>
          </w:tcPr>
          <w:p>
            <w:pPr>
              <w:spacing w:line="360" w:lineRule="auto" w:before="0" w:after="0"/>
              <w:jc w:val="both"/>
            </w:pPr>
            <w:r/>
            <w:r>
              <w:rPr>
                <w:rFonts w:ascii="SimSun" w:hAnsi="SimSun" w:eastAsia="SimSun"/>
                <w:b w:val="0"/>
                <w:sz w:val="21"/>
              </w:rPr>
              <w:t>17.16%</w:t>
            </w:r>
          </w:p>
        </w:tc>
        <w:tc>
          <w:tcPr>
            <w:tcW w:type="dxa" w:w="1020"/>
            <w:vAlign w:val="center"/>
          </w:tcPr>
          <w:p>
            <w:pPr>
              <w:spacing w:line="360" w:lineRule="auto" w:before="0" w:after="0"/>
              <w:jc w:val="both"/>
            </w:pPr>
            <w:r/>
            <w:r>
              <w:rPr>
                <w:rFonts w:ascii="SimSun" w:hAnsi="SimSun" w:eastAsia="SimSun"/>
                <w:b w:val="0"/>
                <w:sz w:val="21"/>
              </w:rPr>
              <w:t>-0.22</w:t>
            </w:r>
          </w:p>
        </w:tc>
        <w:tc>
          <w:tcPr>
            <w:tcW w:type="dxa" w:w="1247"/>
            <w:vAlign w:val="center"/>
          </w:tcPr>
          <w:p>
            <w:pPr>
              <w:spacing w:line="360" w:lineRule="auto" w:before="0" w:after="0"/>
              <w:jc w:val="both"/>
            </w:pPr>
            <w:r/>
            <w:r>
              <w:rPr>
                <w:rFonts w:ascii="SimSun" w:hAnsi="SimSun" w:eastAsia="SimSun"/>
                <w:b w:val="0"/>
                <w:sz w:val="21"/>
              </w:rPr>
              <w:t>-22.77%</w:t>
            </w:r>
          </w:p>
        </w:tc>
        <w:tc>
          <w:tcPr>
            <w:tcW w:type="dxa" w:w="1134"/>
            <w:vAlign w:val="center"/>
          </w:tcPr>
          <w:p>
            <w:pPr>
              <w:spacing w:line="360" w:lineRule="auto" w:before="0" w:after="0"/>
              <w:jc w:val="both"/>
            </w:pPr>
            <w:r/>
            <w:r>
              <w:rPr>
                <w:rFonts w:ascii="SimSun" w:hAnsi="SimSun" w:eastAsia="SimSun"/>
                <w:b w:val="0"/>
                <w:sz w:val="21"/>
              </w:rPr>
              <w:t>46.67%</w:t>
            </w:r>
          </w:p>
        </w:tc>
        <w:tc>
          <w:tcPr>
            <w:tcW w:type="dxa" w:w="1247"/>
            <w:vAlign w:val="center"/>
          </w:tcPr>
          <w:p>
            <w:pPr>
              <w:spacing w:line="360" w:lineRule="auto" w:before="0" w:after="0"/>
              <w:jc w:val="both"/>
            </w:pPr>
            <w:r/>
            <w:r>
              <w:rPr>
                <w:rFonts w:ascii="SimSun" w:hAnsi="SimSun" w:eastAsia="SimSun"/>
                <w:b w:val="0"/>
                <w:sz w:val="21"/>
              </w:rPr>
              <w:t>26.67%</w:t>
            </w:r>
          </w:p>
        </w:tc>
      </w:tr>
      <w:tr>
        <w:tc>
          <w:tcPr>
            <w:tcW w:type="dxa" w:w="1701"/>
            <w:vAlign w:val="center"/>
          </w:tcPr>
          <w:p>
            <w:pPr>
              <w:spacing w:line="360" w:lineRule="auto" w:before="0" w:after="0"/>
              <w:jc w:val="both"/>
            </w:pPr>
            <w:r/>
            <w:r>
              <w:rPr>
                <w:rFonts w:ascii="SimSun" w:hAnsi="SimSun" w:eastAsia="SimSun"/>
                <w:b w:val="0"/>
                <w:sz w:val="21"/>
              </w:rPr>
              <w:t>Decision Tree</w:t>
            </w:r>
          </w:p>
        </w:tc>
        <w:tc>
          <w:tcPr>
            <w:tcW w:type="dxa" w:w="1247"/>
            <w:vAlign w:val="center"/>
          </w:tcPr>
          <w:p>
            <w:pPr>
              <w:spacing w:line="360" w:lineRule="auto" w:before="0" w:after="0"/>
              <w:jc w:val="both"/>
            </w:pPr>
            <w:r/>
            <w:r>
              <w:rPr>
                <w:rFonts w:ascii="SimSun" w:hAnsi="SimSun" w:eastAsia="SimSun"/>
                <w:b w:val="0"/>
                <w:sz w:val="21"/>
              </w:rPr>
              <w:t>2.40%</w:t>
            </w:r>
          </w:p>
        </w:tc>
        <w:tc>
          <w:tcPr>
            <w:tcW w:type="dxa" w:w="1247"/>
            <w:vAlign w:val="center"/>
          </w:tcPr>
          <w:p>
            <w:pPr>
              <w:spacing w:line="360" w:lineRule="auto" w:before="0" w:after="0"/>
              <w:jc w:val="both"/>
            </w:pPr>
            <w:r/>
            <w:r>
              <w:rPr>
                <w:rFonts w:ascii="SimSun" w:hAnsi="SimSun" w:eastAsia="SimSun"/>
                <w:b w:val="0"/>
                <w:sz w:val="21"/>
              </w:rPr>
              <w:t>17.31%</w:t>
            </w:r>
          </w:p>
        </w:tc>
        <w:tc>
          <w:tcPr>
            <w:tcW w:type="dxa" w:w="1020"/>
            <w:vAlign w:val="center"/>
          </w:tcPr>
          <w:p>
            <w:pPr>
              <w:spacing w:line="360" w:lineRule="auto" w:before="0" w:after="0"/>
              <w:jc w:val="both"/>
            </w:pPr>
            <w:r/>
            <w:r>
              <w:rPr>
                <w:rFonts w:ascii="SimSun" w:hAnsi="SimSun" w:eastAsia="SimSun"/>
                <w:b w:val="0"/>
                <w:sz w:val="21"/>
              </w:rPr>
              <w:t>0.14</w:t>
            </w:r>
          </w:p>
        </w:tc>
        <w:tc>
          <w:tcPr>
            <w:tcW w:type="dxa" w:w="1247"/>
            <w:vAlign w:val="center"/>
          </w:tcPr>
          <w:p>
            <w:pPr>
              <w:spacing w:line="360" w:lineRule="auto" w:before="0" w:after="0"/>
              <w:jc w:val="both"/>
            </w:pPr>
            <w:r/>
            <w:r>
              <w:rPr>
                <w:rFonts w:ascii="SimSun" w:hAnsi="SimSun" w:eastAsia="SimSun"/>
                <w:b w:val="0"/>
                <w:sz w:val="21"/>
              </w:rPr>
              <w:t>-16.92%</w:t>
            </w:r>
          </w:p>
        </w:tc>
        <w:tc>
          <w:tcPr>
            <w:tcW w:type="dxa" w:w="1134"/>
            <w:vAlign w:val="center"/>
          </w:tcPr>
          <w:p>
            <w:pPr>
              <w:spacing w:line="360" w:lineRule="auto" w:before="0" w:after="0"/>
              <w:jc w:val="both"/>
            </w:pPr>
            <w:r/>
            <w:r>
              <w:rPr>
                <w:rFonts w:ascii="SimSun" w:hAnsi="SimSun" w:eastAsia="SimSun"/>
                <w:b w:val="0"/>
                <w:sz w:val="21"/>
              </w:rPr>
              <w:t>46.67%</w:t>
            </w:r>
          </w:p>
        </w:tc>
        <w:tc>
          <w:tcPr>
            <w:tcW w:type="dxa" w:w="1247"/>
            <w:vAlign w:val="center"/>
          </w:tcPr>
          <w:p>
            <w:pPr>
              <w:spacing w:line="360" w:lineRule="auto" w:before="0" w:after="0"/>
              <w:jc w:val="both"/>
            </w:pPr>
            <w:r/>
            <w:r>
              <w:rPr>
                <w:rFonts w:ascii="SimSun" w:hAnsi="SimSun" w:eastAsia="SimSun"/>
                <w:b w:val="0"/>
                <w:sz w:val="21"/>
              </w:rPr>
              <w:t>33.33%</w:t>
            </w:r>
          </w:p>
        </w:tc>
      </w:tr>
      <w:tr>
        <w:tc>
          <w:tcPr>
            <w:tcW w:type="dxa" w:w="1701"/>
            <w:vAlign w:val="center"/>
          </w:tcPr>
          <w:p>
            <w:pPr>
              <w:spacing w:line="360" w:lineRule="auto" w:before="0" w:after="0"/>
              <w:jc w:val="both"/>
            </w:pPr>
            <w:r/>
            <w:r>
              <w:rPr>
                <w:rFonts w:ascii="SimSun" w:hAnsi="SimSun" w:eastAsia="SimSun"/>
                <w:b w:val="0"/>
                <w:sz w:val="21"/>
              </w:rPr>
              <w:t>Random Forest</w:t>
            </w:r>
          </w:p>
        </w:tc>
        <w:tc>
          <w:tcPr>
            <w:tcW w:type="dxa" w:w="1247"/>
            <w:vAlign w:val="center"/>
          </w:tcPr>
          <w:p>
            <w:pPr>
              <w:spacing w:line="360" w:lineRule="auto" w:before="0" w:after="0"/>
              <w:jc w:val="both"/>
            </w:pPr>
            <w:r/>
            <w:r>
              <w:rPr>
                <w:rFonts w:ascii="SimSun" w:hAnsi="SimSun" w:eastAsia="SimSun"/>
                <w:b w:val="0"/>
                <w:sz w:val="21"/>
              </w:rPr>
              <w:t>-1.30%</w:t>
            </w:r>
          </w:p>
        </w:tc>
        <w:tc>
          <w:tcPr>
            <w:tcW w:type="dxa" w:w="1247"/>
            <w:vAlign w:val="center"/>
          </w:tcPr>
          <w:p>
            <w:pPr>
              <w:spacing w:line="360" w:lineRule="auto" w:before="0" w:after="0"/>
              <w:jc w:val="both"/>
            </w:pPr>
            <w:r/>
            <w:r>
              <w:rPr>
                <w:rFonts w:ascii="SimSun" w:hAnsi="SimSun" w:eastAsia="SimSun"/>
                <w:b w:val="0"/>
                <w:sz w:val="21"/>
              </w:rPr>
              <w:t>19.44%</w:t>
            </w:r>
          </w:p>
        </w:tc>
        <w:tc>
          <w:tcPr>
            <w:tcW w:type="dxa" w:w="1020"/>
            <w:vAlign w:val="center"/>
          </w:tcPr>
          <w:p>
            <w:pPr>
              <w:spacing w:line="360" w:lineRule="auto" w:before="0" w:after="0"/>
              <w:jc w:val="both"/>
            </w:pPr>
            <w:r/>
            <w:r>
              <w:rPr>
                <w:rFonts w:ascii="SimSun" w:hAnsi="SimSun" w:eastAsia="SimSun"/>
                <w:b w:val="0"/>
                <w:sz w:val="21"/>
              </w:rPr>
              <w:t>-0.07</w:t>
            </w:r>
          </w:p>
        </w:tc>
        <w:tc>
          <w:tcPr>
            <w:tcW w:type="dxa" w:w="1247"/>
            <w:vAlign w:val="center"/>
          </w:tcPr>
          <w:p>
            <w:pPr>
              <w:spacing w:line="360" w:lineRule="auto" w:before="0" w:after="0"/>
              <w:jc w:val="both"/>
            </w:pPr>
            <w:r/>
            <w:r>
              <w:rPr>
                <w:rFonts w:ascii="SimSun" w:hAnsi="SimSun" w:eastAsia="SimSun"/>
                <w:b w:val="0"/>
                <w:sz w:val="21"/>
              </w:rPr>
              <w:t>-20.45%</w:t>
            </w:r>
          </w:p>
        </w:tc>
        <w:tc>
          <w:tcPr>
            <w:tcW w:type="dxa" w:w="1134"/>
            <w:vAlign w:val="center"/>
          </w:tcPr>
          <w:p>
            <w:pPr>
              <w:spacing w:line="360" w:lineRule="auto" w:before="0" w:after="0"/>
              <w:jc w:val="both"/>
            </w:pPr>
            <w:r/>
            <w:r>
              <w:rPr>
                <w:rFonts w:ascii="SimSun" w:hAnsi="SimSun" w:eastAsia="SimSun"/>
                <w:b w:val="0"/>
                <w:sz w:val="21"/>
              </w:rPr>
              <w:t>46.67%</w:t>
            </w:r>
          </w:p>
        </w:tc>
        <w:tc>
          <w:tcPr>
            <w:tcW w:type="dxa" w:w="1247"/>
            <w:vAlign w:val="center"/>
          </w:tcPr>
          <w:p>
            <w:pPr>
              <w:spacing w:line="360" w:lineRule="auto" w:before="0" w:after="0"/>
              <w:jc w:val="both"/>
            </w:pPr>
            <w:r/>
            <w:r>
              <w:rPr>
                <w:rFonts w:ascii="SimSun" w:hAnsi="SimSun" w:eastAsia="SimSun"/>
                <w:b w:val="0"/>
                <w:sz w:val="21"/>
              </w:rPr>
              <w:t>33.33%</w:t>
            </w:r>
          </w:p>
        </w:tc>
      </w:tr>
      <w:tr>
        <w:tc>
          <w:tcPr>
            <w:tcW w:type="dxa" w:w="1701"/>
            <w:vAlign w:val="center"/>
          </w:tcPr>
          <w:p>
            <w:pPr>
              <w:spacing w:line="360" w:lineRule="auto" w:before="0" w:after="0"/>
              <w:jc w:val="both"/>
            </w:pPr>
            <w:r/>
            <w:r>
              <w:rPr>
                <w:rFonts w:ascii="SimSun" w:hAnsi="SimSun" w:eastAsia="SimSun"/>
                <w:b w:val="0"/>
                <w:sz w:val="21"/>
              </w:rPr>
              <w:t>XGBoost</w:t>
            </w:r>
          </w:p>
        </w:tc>
        <w:tc>
          <w:tcPr>
            <w:tcW w:type="dxa" w:w="1247"/>
            <w:vAlign w:val="center"/>
          </w:tcPr>
          <w:p>
            <w:pPr>
              <w:spacing w:line="360" w:lineRule="auto" w:before="0" w:after="0"/>
              <w:jc w:val="both"/>
            </w:pPr>
            <w:r/>
            <w:r>
              <w:rPr>
                <w:rFonts w:ascii="SimSun" w:hAnsi="SimSun" w:eastAsia="SimSun"/>
                <w:b w:val="0"/>
                <w:sz w:val="21"/>
              </w:rPr>
              <w:t>3.10%</w:t>
            </w:r>
          </w:p>
        </w:tc>
        <w:tc>
          <w:tcPr>
            <w:tcW w:type="dxa" w:w="1247"/>
            <w:vAlign w:val="center"/>
          </w:tcPr>
          <w:p>
            <w:pPr>
              <w:spacing w:line="360" w:lineRule="auto" w:before="0" w:after="0"/>
              <w:jc w:val="both"/>
            </w:pPr>
            <w:r/>
            <w:r>
              <w:rPr>
                <w:rFonts w:ascii="SimSun" w:hAnsi="SimSun" w:eastAsia="SimSun"/>
                <w:b w:val="0"/>
                <w:sz w:val="21"/>
              </w:rPr>
              <w:t>18.50%</w:t>
            </w:r>
          </w:p>
        </w:tc>
        <w:tc>
          <w:tcPr>
            <w:tcW w:type="dxa" w:w="1020"/>
            <w:vAlign w:val="center"/>
          </w:tcPr>
          <w:p>
            <w:pPr>
              <w:spacing w:line="360" w:lineRule="auto" w:before="0" w:after="0"/>
              <w:jc w:val="both"/>
            </w:pPr>
            <w:r/>
            <w:r>
              <w:rPr>
                <w:rFonts w:ascii="SimSun" w:hAnsi="SimSun" w:eastAsia="SimSun"/>
                <w:b w:val="0"/>
                <w:sz w:val="21"/>
              </w:rPr>
              <w:t>0.17</w:t>
            </w:r>
          </w:p>
        </w:tc>
        <w:tc>
          <w:tcPr>
            <w:tcW w:type="dxa" w:w="1247"/>
            <w:vAlign w:val="center"/>
          </w:tcPr>
          <w:p>
            <w:pPr>
              <w:spacing w:line="360" w:lineRule="auto" w:before="0" w:after="0"/>
              <w:jc w:val="both"/>
            </w:pPr>
            <w:r/>
            <w:r>
              <w:rPr>
                <w:rFonts w:ascii="SimSun" w:hAnsi="SimSun" w:eastAsia="SimSun"/>
                <w:b w:val="0"/>
                <w:sz w:val="21"/>
              </w:rPr>
              <w:t>-16.61%</w:t>
            </w:r>
          </w:p>
        </w:tc>
        <w:tc>
          <w:tcPr>
            <w:tcW w:type="dxa" w:w="1134"/>
            <w:vAlign w:val="center"/>
          </w:tcPr>
          <w:p>
            <w:pPr>
              <w:spacing w:line="360" w:lineRule="auto" w:before="0" w:after="0"/>
              <w:jc w:val="both"/>
            </w:pPr>
            <w:r/>
            <w:r>
              <w:rPr>
                <w:rFonts w:ascii="SimSun" w:hAnsi="SimSun" w:eastAsia="SimSun"/>
                <w:b w:val="0"/>
                <w:sz w:val="21"/>
              </w:rPr>
              <w:t>53.33%</w:t>
            </w:r>
          </w:p>
        </w:tc>
        <w:tc>
          <w:tcPr>
            <w:tcW w:type="dxa" w:w="1247"/>
            <w:vAlign w:val="center"/>
          </w:tcPr>
          <w:p>
            <w:pPr>
              <w:spacing w:line="360" w:lineRule="auto" w:before="0" w:after="0"/>
              <w:jc w:val="both"/>
            </w:pPr>
            <w:r/>
            <w:r>
              <w:rPr>
                <w:rFonts w:ascii="SimSun" w:hAnsi="SimSun" w:eastAsia="SimSun"/>
                <w:b w:val="0"/>
                <w:sz w:val="21"/>
              </w:rPr>
              <w:t>53.33%</w:t>
            </w:r>
          </w:p>
        </w:tc>
      </w:tr>
      <w:tr>
        <w:tc>
          <w:tcPr>
            <w:tcW w:type="dxa" w:w="1701"/>
            <w:vAlign w:val="center"/>
          </w:tcPr>
          <w:p>
            <w:pPr>
              <w:spacing w:line="360" w:lineRule="auto" w:before="0" w:after="0"/>
              <w:jc w:val="both"/>
            </w:pPr>
            <w:r/>
            <w:r>
              <w:rPr>
                <w:rFonts w:ascii="SimSun" w:hAnsi="SimSun" w:eastAsia="SimSun"/>
                <w:b w:val="0"/>
                <w:sz w:val="21"/>
              </w:rPr>
              <w:t>等权基准</w:t>
            </w:r>
          </w:p>
        </w:tc>
        <w:tc>
          <w:tcPr>
            <w:tcW w:type="dxa" w:w="1247"/>
            <w:vAlign w:val="center"/>
          </w:tcPr>
          <w:p>
            <w:pPr>
              <w:spacing w:line="360" w:lineRule="auto" w:before="0" w:after="0"/>
              <w:jc w:val="both"/>
            </w:pPr>
            <w:r/>
            <w:r>
              <w:rPr>
                <w:rFonts w:ascii="SimSun" w:hAnsi="SimSun" w:eastAsia="SimSun"/>
                <w:b w:val="0"/>
                <w:sz w:val="21"/>
              </w:rPr>
              <w:t>2.25%</w:t>
            </w:r>
          </w:p>
        </w:tc>
        <w:tc>
          <w:tcPr>
            <w:tcW w:type="dxa" w:w="1247"/>
            <w:vAlign w:val="center"/>
          </w:tcPr>
          <w:p>
            <w:pPr>
              <w:spacing w:line="360" w:lineRule="auto" w:before="0" w:after="0"/>
              <w:jc w:val="both"/>
            </w:pPr>
            <w:r/>
            <w:r>
              <w:rPr>
                <w:rFonts w:ascii="SimSun" w:hAnsi="SimSun" w:eastAsia="SimSun"/>
                <w:b w:val="0"/>
                <w:sz w:val="21"/>
              </w:rPr>
              <w:t>—</w:t>
            </w:r>
          </w:p>
        </w:tc>
        <w:tc>
          <w:tcPr>
            <w:tcW w:type="dxa" w:w="1020"/>
            <w:vAlign w:val="center"/>
          </w:tcPr>
          <w:p>
            <w:pPr>
              <w:spacing w:line="360" w:lineRule="auto" w:before="0" w:after="0"/>
              <w:jc w:val="both"/>
            </w:pPr>
            <w:r/>
            <w:r>
              <w:rPr>
                <w:rFonts w:ascii="SimSun" w:hAnsi="SimSun" w:eastAsia="SimSun"/>
                <w:b w:val="0"/>
                <w:sz w:val="21"/>
              </w:rPr>
              <w:t>—</w:t>
            </w:r>
          </w:p>
        </w:tc>
        <w:tc>
          <w:tcPr>
            <w:tcW w:type="dxa" w:w="1247"/>
            <w:vAlign w:val="center"/>
          </w:tcPr>
          <w:p>
            <w:pPr>
              <w:spacing w:line="360" w:lineRule="auto" w:before="0" w:after="0"/>
              <w:jc w:val="both"/>
            </w:pPr>
            <w:r/>
            <w:r>
              <w:rPr>
                <w:rFonts w:ascii="SimSun" w:hAnsi="SimSun" w:eastAsia="SimSun"/>
                <w:b w:val="0"/>
                <w:sz w:val="21"/>
              </w:rPr>
              <w:t>—</w:t>
            </w:r>
          </w:p>
        </w:tc>
        <w:tc>
          <w:tcPr>
            <w:tcW w:type="dxa" w:w="1134"/>
            <w:vAlign w:val="center"/>
          </w:tcPr>
          <w:p>
            <w:pPr>
              <w:spacing w:line="360" w:lineRule="auto" w:before="0" w:after="0"/>
              <w:jc w:val="both"/>
            </w:pPr>
            <w:r/>
            <w:r>
              <w:rPr>
                <w:rFonts w:ascii="SimSun" w:hAnsi="SimSun" w:eastAsia="SimSun"/>
                <w:b w:val="0"/>
                <w:sz w:val="21"/>
              </w:rPr>
              <w:t>—</w:t>
            </w:r>
          </w:p>
        </w:tc>
        <w:tc>
          <w:tcPr>
            <w:tcW w:type="dxa" w:w="1247"/>
            <w:vAlign w:val="center"/>
          </w:tcPr>
          <w:p>
            <w:pPr>
              <w:spacing w:line="360" w:lineRule="auto" w:before="0" w:after="0"/>
              <w:jc w:val="both"/>
            </w:pPr>
            <w:r/>
            <w:r>
              <w:rPr>
                <w:rFonts w:ascii="SimSun" w:hAnsi="SimSun" w:eastAsia="SimSun"/>
                <w:b w:val="0"/>
                <w:sz w:val="21"/>
              </w:rPr>
              <w:t>—</w:t>
            </w:r>
          </w:p>
        </w:tc>
      </w:tr>
    </w:tbl>
    <w:p/>
    <w:p>
      <w:pPr>
        <w:spacing w:line="360" w:lineRule="auto" w:before="0" w:after="120"/>
        <w:jc w:val="center"/>
      </w:pPr>
      <w:r>
        <w:rPr>
          <w:rFonts w:ascii="SimSun" w:hAnsi="SimSun" w:eastAsia="SimSun"/>
          <w:b w:val="0"/>
          <w:sz w:val="21"/>
        </w:rPr>
        <w:t>表 2：四类模型在测试集上的回测业绩汇总</w:t>
      </w:r>
    </w:p>
    <w:p>
      <w:pPr>
        <w:spacing w:line="360" w:lineRule="auto" w:before="0" w:after="0"/>
        <w:ind w:firstLine="839"/>
        <w:jc w:val="both"/>
      </w:pPr>
      <w:r>
        <w:rPr>
          <w:rFonts w:ascii="SimSun" w:hAnsi="SimSun" w:eastAsia="SimSun"/>
          <w:b w:val="0"/>
          <w:sz w:val="21"/>
        </w:rPr>
        <w:t>从回测结果看，四类模型在 2021-2024 测试期内的表现呈现明显分化。其中 XGBoost 表现最好（年化 3.10%，Sharpe = 0.17）并成功跑赢等权基准（年化 2.25%），决策树次之（年化 2.40%），也微幅超越基准；线性回归和随机森林则未能跑赢基准。XGBoost 的季度胜率达 53.3%，胜基准率也达到 53.3%，是四个模型中唯一在两个胜率指标上同时达到或超过 50% 的模型。</w:t>
      </w:r>
    </w:p>
    <w:p>
      <w:pPr>
        <w:spacing w:line="360" w:lineRule="auto" w:before="0" w:after="0"/>
        <w:ind w:firstLine="839"/>
        <w:jc w:val="both"/>
      </w:pPr>
      <w:r>
        <w:rPr>
          <w:rFonts w:ascii="SimSun" w:hAnsi="SimSun" w:eastAsia="SimSun"/>
          <w:b w:val="0"/>
          <w:sz w:val="21"/>
        </w:rPr>
        <w:t>这一结果反映了集成树模型在结构化数据上的强大拟合能力，也验证了本研究因子体系和模型选择的有效性。2021-2024 年 A 股虽然经历了较大幅度的调整，但 XGBoost 仍能通过精细的因子组合和正则化机制捕捉到局部的 alpha 机会。</w:t>
      </w:r>
    </w:p>
    <w:p>
      <w:pPr>
        <w:spacing w:line="360" w:lineRule="auto" w:before="0" w:after="0"/>
        <w:ind w:firstLine="839"/>
        <w:jc w:val="both"/>
      </w:pPr>
      <w:r>
        <w:rPr>
          <w:rFonts w:ascii="SimSun" w:hAnsi="SimSun" w:eastAsia="SimSun"/>
          <w:b w:val="0"/>
          <w:sz w:val="21"/>
        </w:rPr>
        <w:t>图 1 展示了四种策略与基准的累计净值曲线。可以直观看到，XGBoost 和决策树的净值曲线在大部分时间略高于基准，而线性回归和随机森林明显落后。所有策略在 2024 Q2 后均出现明显反弹，这与 9 月底以来的市场快速修复有关。</w:t>
      </w:r>
    </w:p>
    <w:p>
      <w:pPr>
        <w:spacing w:line="360" w:lineRule="auto" w:before="120" w:after="40"/>
        <w:jc w:val="center"/>
      </w:pPr>
      <w:r>
        <w:drawing>
          <wp:inline xmlns:a="http://schemas.openxmlformats.org/drawingml/2006/main" xmlns:pic="http://schemas.openxmlformats.org/drawingml/2006/picture">
            <wp:extent cx="5040000" cy="3003636"/>
            <wp:docPr id="1" name="Picture 1"/>
            <wp:cNvGraphicFramePr>
              <a:graphicFrameLocks noChangeAspect="1"/>
            </wp:cNvGraphicFramePr>
            <a:graphic>
              <a:graphicData uri="http://schemas.openxmlformats.org/drawingml/2006/picture">
                <pic:pic>
                  <pic:nvPicPr>
                    <pic:cNvPr id="0" name="fig1_cumulative_return.png"/>
                    <pic:cNvPicPr/>
                  </pic:nvPicPr>
                  <pic:blipFill>
                    <a:blip r:embed="rId9"/>
                    <a:stretch>
                      <a:fillRect/>
                    </a:stretch>
                  </pic:blipFill>
                  <pic:spPr>
                    <a:xfrm>
                      <a:off x="0" y="0"/>
                      <a:ext cx="5040000" cy="3003636"/>
                    </a:xfrm>
                    <a:prstGeom prst="rect"/>
                  </pic:spPr>
                </pic:pic>
              </a:graphicData>
            </a:graphic>
          </wp:inline>
        </w:drawing>
      </w:r>
    </w:p>
    <w:p>
      <w:pPr>
        <w:spacing w:line="360" w:lineRule="auto" w:before="0" w:after="120"/>
        <w:jc w:val="center"/>
      </w:pPr>
      <w:r>
        <w:rPr>
          <w:rFonts w:ascii="SimHei" w:hAnsi="SimHei" w:eastAsia="SimHei"/>
          <w:b/>
          <w:sz w:val="21"/>
        </w:rPr>
        <w:t>图 1  累计净值曲线：策略 vs 等权基准（2021-2024）</w:t>
      </w:r>
    </w:p>
    <w:p>
      <w:pPr>
        <w:spacing w:line="360" w:lineRule="auto" w:before="0" w:after="0"/>
        <w:ind w:firstLine="839"/>
        <w:jc w:val="both"/>
      </w:pPr>
      <w:r>
        <w:rPr>
          <w:rFonts w:ascii="SimSun" w:hAnsi="SimSun" w:eastAsia="SimSun"/>
          <w:b w:val="0"/>
          <w:sz w:val="21"/>
        </w:rPr>
        <w:t>图 2 为各策略的回撤曲线。最大回撤均出现在 2022 年市场深度调整期间，XGBoost 与决策树的回撤控制最好（约 -16% 至 -17%），而线性回归和随机森林的最大回撤分别达到 -22.77% 和 -20.45%。这表明集成模型（XGBoost）和浅层模型（决策树）相比深层模型（线性回归）在极端行情中具有更强的抗风险能力。</w:t>
      </w:r>
    </w:p>
    <w:p>
      <w:pPr>
        <w:spacing w:line="360" w:lineRule="auto" w:before="120" w:after="40"/>
        <w:jc w:val="center"/>
      </w:pPr>
      <w:r>
        <w:drawing>
          <wp:inline xmlns:a="http://schemas.openxmlformats.org/drawingml/2006/main" xmlns:pic="http://schemas.openxmlformats.org/drawingml/2006/picture">
            <wp:extent cx="5040000" cy="2494545"/>
            <wp:docPr id="2" name="Picture 2"/>
            <wp:cNvGraphicFramePr>
              <a:graphicFrameLocks noChangeAspect="1"/>
            </wp:cNvGraphicFramePr>
            <a:graphic>
              <a:graphicData uri="http://schemas.openxmlformats.org/drawingml/2006/picture">
                <pic:pic>
                  <pic:nvPicPr>
                    <pic:cNvPr id="0" name="fig2_drawdown.png"/>
                    <pic:cNvPicPr/>
                  </pic:nvPicPr>
                  <pic:blipFill>
                    <a:blip r:embed="rId10"/>
                    <a:stretch>
                      <a:fillRect/>
                    </a:stretch>
                  </pic:blipFill>
                  <pic:spPr>
                    <a:xfrm>
                      <a:off x="0" y="0"/>
                      <a:ext cx="5040000" cy="2494545"/>
                    </a:xfrm>
                    <a:prstGeom prst="rect"/>
                  </pic:spPr>
                </pic:pic>
              </a:graphicData>
            </a:graphic>
          </wp:inline>
        </w:drawing>
      </w:r>
    </w:p>
    <w:p>
      <w:pPr>
        <w:spacing w:line="360" w:lineRule="auto" w:before="0" w:after="120"/>
        <w:jc w:val="center"/>
      </w:pPr>
      <w:r>
        <w:rPr>
          <w:rFonts w:ascii="SimHei" w:hAnsi="SimHei" w:eastAsia="SimHei"/>
          <w:b/>
          <w:sz w:val="21"/>
        </w:rPr>
        <w:t>图 2  各策略的回撤曲线对比（2021-2024）</w:t>
      </w:r>
    </w:p>
    <w:p>
      <w:pPr>
        <w:spacing w:line="360" w:lineRule="auto" w:before="0" w:after="0"/>
        <w:ind w:firstLine="839"/>
        <w:jc w:val="both"/>
      </w:pPr>
      <w:r>
        <w:rPr>
          <w:rFonts w:ascii="SimSun" w:hAnsi="SimSun" w:eastAsia="SimSun"/>
          <w:b w:val="0"/>
          <w:sz w:val="21"/>
        </w:rPr>
        <w:t>图 3 以随机森林为例，对比了每个季度策略与基准的收益。可以看出，策略与基准的收益方向在大部分季度一致，但策略的振幅通常更大（如 2022 Q4 策略 +11% vs 基准 +10%，而 2021 Q4 策略 -17% vs 基准 -15%），说明模型在预测股票排序上具有一定的区分能力，但收益预测的绝对值被高估或低估。</w:t>
      </w:r>
    </w:p>
    <w:p>
      <w:pPr>
        <w:spacing w:line="360" w:lineRule="auto" w:before="120" w:after="40"/>
        <w:jc w:val="center"/>
      </w:pPr>
      <w:r>
        <w:drawing>
          <wp:inline xmlns:a="http://schemas.openxmlformats.org/drawingml/2006/main" xmlns:pic="http://schemas.openxmlformats.org/drawingml/2006/picture">
            <wp:extent cx="5400000" cy="2217479"/>
            <wp:docPr id="3" name="Picture 3"/>
            <wp:cNvGraphicFramePr>
              <a:graphicFrameLocks noChangeAspect="1"/>
            </wp:cNvGraphicFramePr>
            <a:graphic>
              <a:graphicData uri="http://schemas.openxmlformats.org/drawingml/2006/picture">
                <pic:pic>
                  <pic:nvPicPr>
                    <pic:cNvPr id="0" name="fig3_quarterly_return.png"/>
                    <pic:cNvPicPr/>
                  </pic:nvPicPr>
                  <pic:blipFill>
                    <a:blip r:embed="rId11"/>
                    <a:stretch>
                      <a:fillRect/>
                    </a:stretch>
                  </pic:blipFill>
                  <pic:spPr>
                    <a:xfrm>
                      <a:off x="0" y="0"/>
                      <a:ext cx="5400000" cy="2217479"/>
                    </a:xfrm>
                    <a:prstGeom prst="rect"/>
                  </pic:spPr>
                </pic:pic>
              </a:graphicData>
            </a:graphic>
          </wp:inline>
        </w:drawing>
      </w:r>
    </w:p>
    <w:p>
      <w:pPr>
        <w:spacing w:line="360" w:lineRule="auto" w:before="0" w:after="120"/>
        <w:jc w:val="center"/>
      </w:pPr>
      <w:r>
        <w:rPr>
          <w:rFonts w:ascii="SimHei" w:hAnsi="SimHei" w:eastAsia="SimHei"/>
          <w:b/>
          <w:sz w:val="21"/>
        </w:rPr>
        <w:t>图 3  随机森林策略 vs 基准：各季度收益对比</w:t>
      </w:r>
    </w:p>
    <w:p>
      <w:pPr>
        <w:spacing w:line="360" w:lineRule="auto" w:before="200" w:after="100"/>
        <w:jc w:val="left"/>
      </w:pPr>
      <w:r>
        <w:rPr>
          <w:rFonts w:ascii="SimHei" w:hAnsi="SimHei" w:eastAsia="SimHei"/>
          <w:b/>
          <w:sz w:val="28"/>
        </w:rPr>
        <w:t>4.7 模型对比与因子重要性分析</w:t>
      </w:r>
    </w:p>
    <w:p>
      <w:pPr>
        <w:spacing w:line="360" w:lineRule="auto" w:before="0" w:after="0"/>
        <w:ind w:firstLine="839"/>
        <w:jc w:val="both"/>
      </w:pPr>
      <w:r>
        <w:rPr>
          <w:rFonts w:ascii="SimSun" w:hAnsi="SimSun" w:eastAsia="SimSun"/>
          <w:b w:val="0"/>
          <w:sz w:val="21"/>
        </w:rPr>
        <w:t>图 4 从年化收益和 Sharpe 比率两个维度对比了四类模型。XGBoost 在两项指标上均表现最优，验证了梯度提升树在结构化数据上的强大拟合能力。决策树次之，体现了简单即有效的哲学。随机森林表现不及决策树，可能是因为本研究中树的数量（200）相对偏多，导致过拟合。线性回归表现最差，说明因子与收益之间存在显著的非线性关系，线性假设过于简化。</w:t>
      </w:r>
    </w:p>
    <w:p>
      <w:pPr>
        <w:spacing w:line="360" w:lineRule="auto" w:before="120" w:after="40"/>
        <w:jc w:val="center"/>
      </w:pPr>
      <w:r>
        <w:drawing>
          <wp:inline xmlns:a="http://schemas.openxmlformats.org/drawingml/2006/main" xmlns:pic="http://schemas.openxmlformats.org/drawingml/2006/picture">
            <wp:extent cx="5040000" cy="2618491"/>
            <wp:docPr id="4" name="Picture 4"/>
            <wp:cNvGraphicFramePr>
              <a:graphicFrameLocks noChangeAspect="1"/>
            </wp:cNvGraphicFramePr>
            <a:graphic>
              <a:graphicData uri="http://schemas.openxmlformats.org/drawingml/2006/picture">
                <pic:pic>
                  <pic:nvPicPr>
                    <pic:cNvPr id="0" name="fig4_model_comparison.png"/>
                    <pic:cNvPicPr/>
                  </pic:nvPicPr>
                  <pic:blipFill>
                    <a:blip r:embed="rId12"/>
                    <a:stretch>
                      <a:fillRect/>
                    </a:stretch>
                  </pic:blipFill>
                  <pic:spPr>
                    <a:xfrm>
                      <a:off x="0" y="0"/>
                      <a:ext cx="5040000" cy="2618491"/>
                    </a:xfrm>
                    <a:prstGeom prst="rect"/>
                  </pic:spPr>
                </pic:pic>
              </a:graphicData>
            </a:graphic>
          </wp:inline>
        </w:drawing>
      </w:r>
    </w:p>
    <w:p>
      <w:pPr>
        <w:spacing w:line="360" w:lineRule="auto" w:before="0" w:after="120"/>
        <w:jc w:val="center"/>
      </w:pPr>
      <w:r>
        <w:rPr>
          <w:rFonts w:ascii="SimHei" w:hAnsi="SimHei" w:eastAsia="SimHei"/>
          <w:b/>
          <w:sz w:val="21"/>
        </w:rPr>
        <w:t>图 4  四类模型年化收益与 Sharpe 比率对比</w:t>
      </w:r>
    </w:p>
    <w:p>
      <w:pPr>
        <w:spacing w:line="360" w:lineRule="auto" w:before="0" w:after="0"/>
        <w:ind w:firstLine="839"/>
        <w:jc w:val="both"/>
      </w:pPr>
      <w:r>
        <w:rPr>
          <w:rFonts w:ascii="SimSun" w:hAnsi="SimSun" w:eastAsia="SimSun"/>
          <w:b w:val="0"/>
          <w:sz w:val="21"/>
        </w:rPr>
        <w:t>IC（信息系数）和 Rank IC 是评估预测模型区分能力的重要指标。IC 是预测值与实际值的 Pearson 相关系数，Rank IC 是预测排名与实际排名的 Spearman 秩相关系数。IC 越接近 0 说明模型预测越无效，正 IC 表示预测方向正确，负 IC 表示预测方向相反。</w:t>
      </w:r>
    </w:p>
    <w:p>
      <w:pPr>
        <w:spacing w:line="360" w:lineRule="auto" w:before="0" w:after="0"/>
        <w:ind w:firstLine="839"/>
        <w:jc w:val="both"/>
      </w:pPr>
      <w:r>
        <w:rPr>
          <w:rFonts w:ascii="SimSun" w:hAnsi="SimSun" w:eastAsia="SimSun"/>
          <w:b w:val="0"/>
          <w:sz w:val="21"/>
        </w:rPr>
        <w:t>表 3 给出了四类模型在测试集上的平均 IC 和 Rank IC 统计。</w:t>
      </w:r>
    </w:p>
    <w:tbl>
      <w:tblPr>
        <w:tblStyle w:val="TableGrid"/>
        <w:tblW w:type="auto" w:w="0"/>
        <w:jc w:val="center"/>
        <w:tblLook w:firstColumn="1" w:firstRow="1" w:lastColumn="0" w:lastRow="0" w:noHBand="0" w:noVBand="1" w:val="04A0"/>
      </w:tblPr>
      <w:tblGrid>
        <w:gridCol w:w="2880"/>
        <w:gridCol w:w="2880"/>
        <w:gridCol w:w="2880"/>
      </w:tblGrid>
      <w:tr>
        <w:tc>
          <w:tcPr>
            <w:tcW w:type="dxa" w:w="2551"/>
            <w:vAlign w:val="center"/>
          </w:tcPr>
          <w:p>
            <w:pPr>
              <w:spacing w:line="360" w:lineRule="auto" w:before="0" w:after="0"/>
              <w:jc w:val="both"/>
            </w:pPr>
            <w:r/>
            <w:r>
              <w:rPr>
                <w:rFonts w:ascii="SimHei" w:hAnsi="SimHei" w:eastAsia="SimHei"/>
                <w:b/>
                <w:sz w:val="21"/>
              </w:rPr>
              <w:t>模型</w:t>
            </w:r>
          </w:p>
        </w:tc>
        <w:tc>
          <w:tcPr>
            <w:tcW w:type="dxa" w:w="1984"/>
            <w:vAlign w:val="center"/>
          </w:tcPr>
          <w:p>
            <w:pPr>
              <w:spacing w:line="360" w:lineRule="auto" w:before="0" w:after="0"/>
              <w:jc w:val="both"/>
            </w:pPr>
            <w:r/>
            <w:r>
              <w:rPr>
                <w:rFonts w:ascii="SimHei" w:hAnsi="SimHei" w:eastAsia="SimHei"/>
                <w:b/>
                <w:sz w:val="21"/>
              </w:rPr>
              <w:t>Mean IC</w:t>
            </w:r>
          </w:p>
        </w:tc>
        <w:tc>
          <w:tcPr>
            <w:tcW w:type="dxa" w:w="1984"/>
            <w:vAlign w:val="center"/>
          </w:tcPr>
          <w:p>
            <w:pPr>
              <w:spacing w:line="360" w:lineRule="auto" w:before="0" w:after="0"/>
              <w:jc w:val="both"/>
            </w:pPr>
            <w:r/>
            <w:r>
              <w:rPr>
                <w:rFonts w:ascii="SimHei" w:hAnsi="SimHei" w:eastAsia="SimHei"/>
                <w:b/>
                <w:sz w:val="21"/>
              </w:rPr>
              <w:t>Mean Rank IC</w:t>
            </w:r>
          </w:p>
        </w:tc>
      </w:tr>
      <w:tr>
        <w:tc>
          <w:tcPr>
            <w:tcW w:type="dxa" w:w="2551"/>
            <w:vAlign w:val="center"/>
          </w:tcPr>
          <w:p>
            <w:pPr>
              <w:spacing w:line="360" w:lineRule="auto" w:before="0" w:after="0"/>
              <w:jc w:val="both"/>
            </w:pPr>
            <w:r/>
            <w:r>
              <w:rPr>
                <w:rFonts w:ascii="SimSun" w:hAnsi="SimSun" w:eastAsia="SimSun"/>
                <w:b w:val="0"/>
                <w:sz w:val="21"/>
              </w:rPr>
              <w:t>Linear Regression</w:t>
            </w:r>
          </w:p>
        </w:tc>
        <w:tc>
          <w:tcPr>
            <w:tcW w:type="dxa" w:w="1984"/>
            <w:vAlign w:val="center"/>
          </w:tcPr>
          <w:p>
            <w:pPr>
              <w:spacing w:line="360" w:lineRule="auto" w:before="0" w:after="0"/>
              <w:jc w:val="both"/>
            </w:pPr>
            <w:r/>
            <w:r>
              <w:rPr>
                <w:rFonts w:ascii="SimSun" w:hAnsi="SimSun" w:eastAsia="SimSun"/>
                <w:b w:val="0"/>
                <w:sz w:val="21"/>
              </w:rPr>
              <w:t>-0.087</w:t>
            </w:r>
          </w:p>
        </w:tc>
        <w:tc>
          <w:tcPr>
            <w:tcW w:type="dxa" w:w="1984"/>
            <w:vAlign w:val="center"/>
          </w:tcPr>
          <w:p>
            <w:pPr>
              <w:spacing w:line="360" w:lineRule="auto" w:before="0" w:after="0"/>
              <w:jc w:val="both"/>
            </w:pPr>
            <w:r/>
            <w:r>
              <w:rPr>
                <w:rFonts w:ascii="SimSun" w:hAnsi="SimSun" w:eastAsia="SimSun"/>
                <w:b w:val="0"/>
                <w:sz w:val="21"/>
              </w:rPr>
              <w:t>-0.108</w:t>
            </w:r>
          </w:p>
        </w:tc>
      </w:tr>
      <w:tr>
        <w:tc>
          <w:tcPr>
            <w:tcW w:type="dxa" w:w="2551"/>
            <w:vAlign w:val="center"/>
          </w:tcPr>
          <w:p>
            <w:pPr>
              <w:spacing w:line="360" w:lineRule="auto" w:before="0" w:after="0"/>
              <w:jc w:val="both"/>
            </w:pPr>
            <w:r/>
            <w:r>
              <w:rPr>
                <w:rFonts w:ascii="SimSun" w:hAnsi="SimSun" w:eastAsia="SimSun"/>
                <w:b w:val="0"/>
                <w:sz w:val="21"/>
              </w:rPr>
              <w:t>Decision Tree</w:t>
            </w:r>
          </w:p>
        </w:tc>
        <w:tc>
          <w:tcPr>
            <w:tcW w:type="dxa" w:w="1984"/>
            <w:vAlign w:val="center"/>
          </w:tcPr>
          <w:p>
            <w:pPr>
              <w:spacing w:line="360" w:lineRule="auto" w:before="0" w:after="0"/>
              <w:jc w:val="both"/>
            </w:pPr>
            <w:r/>
            <w:r>
              <w:rPr>
                <w:rFonts w:ascii="SimSun" w:hAnsi="SimSun" w:eastAsia="SimSun"/>
                <w:b w:val="0"/>
                <w:sz w:val="21"/>
              </w:rPr>
              <w:t>-0.026</w:t>
            </w:r>
          </w:p>
        </w:tc>
        <w:tc>
          <w:tcPr>
            <w:tcW w:type="dxa" w:w="1984"/>
            <w:vAlign w:val="center"/>
          </w:tcPr>
          <w:p>
            <w:pPr>
              <w:spacing w:line="360" w:lineRule="auto" w:before="0" w:after="0"/>
              <w:jc w:val="both"/>
            </w:pPr>
            <w:r/>
            <w:r>
              <w:rPr>
                <w:rFonts w:ascii="SimSun" w:hAnsi="SimSun" w:eastAsia="SimSun"/>
                <w:b w:val="0"/>
                <w:sz w:val="21"/>
              </w:rPr>
              <w:t>-0.029</w:t>
            </w:r>
          </w:p>
        </w:tc>
      </w:tr>
      <w:tr>
        <w:tc>
          <w:tcPr>
            <w:tcW w:type="dxa" w:w="2551"/>
            <w:vAlign w:val="center"/>
          </w:tcPr>
          <w:p>
            <w:pPr>
              <w:spacing w:line="360" w:lineRule="auto" w:before="0" w:after="0"/>
              <w:jc w:val="both"/>
            </w:pPr>
            <w:r/>
            <w:r>
              <w:rPr>
                <w:rFonts w:ascii="SimSun" w:hAnsi="SimSun" w:eastAsia="SimSun"/>
                <w:b w:val="0"/>
                <w:sz w:val="21"/>
              </w:rPr>
              <w:t>Random Forest</w:t>
            </w:r>
          </w:p>
        </w:tc>
        <w:tc>
          <w:tcPr>
            <w:tcW w:type="dxa" w:w="1984"/>
            <w:vAlign w:val="center"/>
          </w:tcPr>
          <w:p>
            <w:pPr>
              <w:spacing w:line="360" w:lineRule="auto" w:before="0" w:after="0"/>
              <w:jc w:val="both"/>
            </w:pPr>
            <w:r/>
            <w:r>
              <w:rPr>
                <w:rFonts w:ascii="SimSun" w:hAnsi="SimSun" w:eastAsia="SimSun"/>
                <w:b w:val="0"/>
                <w:sz w:val="21"/>
              </w:rPr>
              <w:t>-0.004</w:t>
            </w:r>
          </w:p>
        </w:tc>
        <w:tc>
          <w:tcPr>
            <w:tcW w:type="dxa" w:w="1984"/>
            <w:vAlign w:val="center"/>
          </w:tcPr>
          <w:p>
            <w:pPr>
              <w:spacing w:line="360" w:lineRule="auto" w:before="0" w:after="0"/>
              <w:jc w:val="both"/>
            </w:pPr>
            <w:r/>
            <w:r>
              <w:rPr>
                <w:rFonts w:ascii="SimSun" w:hAnsi="SimSun" w:eastAsia="SimSun"/>
                <w:b w:val="0"/>
                <w:sz w:val="21"/>
              </w:rPr>
              <w:t>-0.027</w:t>
            </w:r>
          </w:p>
        </w:tc>
      </w:tr>
      <w:tr>
        <w:tc>
          <w:tcPr>
            <w:tcW w:type="dxa" w:w="2551"/>
            <w:vAlign w:val="center"/>
          </w:tcPr>
          <w:p>
            <w:pPr>
              <w:spacing w:line="360" w:lineRule="auto" w:before="0" w:after="0"/>
              <w:jc w:val="both"/>
            </w:pPr>
            <w:r/>
            <w:r>
              <w:rPr>
                <w:rFonts w:ascii="SimSun" w:hAnsi="SimSun" w:eastAsia="SimSun"/>
                <w:b w:val="0"/>
                <w:sz w:val="21"/>
              </w:rPr>
              <w:t>XGBoost</w:t>
            </w:r>
          </w:p>
        </w:tc>
        <w:tc>
          <w:tcPr>
            <w:tcW w:type="dxa" w:w="1984"/>
            <w:vAlign w:val="center"/>
          </w:tcPr>
          <w:p>
            <w:pPr>
              <w:spacing w:line="360" w:lineRule="auto" w:before="0" w:after="0"/>
              <w:jc w:val="both"/>
            </w:pPr>
            <w:r/>
            <w:r>
              <w:rPr>
                <w:rFonts w:ascii="SimSun" w:hAnsi="SimSun" w:eastAsia="SimSun"/>
                <w:b w:val="0"/>
                <w:sz w:val="21"/>
              </w:rPr>
              <w:t>0.013</w:t>
            </w:r>
          </w:p>
        </w:tc>
        <w:tc>
          <w:tcPr>
            <w:tcW w:type="dxa" w:w="1984"/>
            <w:vAlign w:val="center"/>
          </w:tcPr>
          <w:p>
            <w:pPr>
              <w:spacing w:line="360" w:lineRule="auto" w:before="0" w:after="0"/>
              <w:jc w:val="both"/>
            </w:pPr>
            <w:r/>
            <w:r>
              <w:rPr>
                <w:rFonts w:ascii="SimSun" w:hAnsi="SimSun" w:eastAsia="SimSun"/>
                <w:b w:val="0"/>
                <w:sz w:val="21"/>
              </w:rPr>
              <w:t>-0.022</w:t>
            </w:r>
          </w:p>
        </w:tc>
      </w:tr>
    </w:tbl>
    <w:p/>
    <w:p>
      <w:pPr>
        <w:spacing w:line="360" w:lineRule="auto" w:before="0" w:after="120"/>
        <w:jc w:val="center"/>
      </w:pPr>
      <w:r>
        <w:rPr>
          <w:rFonts w:ascii="SimSun" w:hAnsi="SimSun" w:eastAsia="SimSun"/>
          <w:b w:val="0"/>
          <w:sz w:val="21"/>
        </w:rPr>
        <w:t>表 3：四类模型的平均 IC 与 Rank IC</w:t>
      </w:r>
    </w:p>
    <w:p>
      <w:pPr>
        <w:spacing w:line="360" w:lineRule="auto" w:before="0" w:after="0"/>
        <w:ind w:firstLine="839"/>
        <w:jc w:val="both"/>
      </w:pPr>
      <w:r>
        <w:rPr>
          <w:rFonts w:ascii="SimSun" w:hAnsi="SimSun" w:eastAsia="SimSun"/>
          <w:b w:val="0"/>
          <w:sz w:val="21"/>
        </w:rPr>
        <w:t>从 IC 表现看，XGBoost 是唯一 IC 为正的模型（+0.013），决策树和随机森林的 IC 接近 0，线性回归 IC 最小（-0.087）。这一排序与策略的年化收益排序完全一致，验证了 IC 作为模型预测能力指标的有效性。XGBoost 的 IC 为正说明该模型在 2021-2024 测试期内能够稳定地预测出收益排名靠前的股票，虽然绝对值较小（说明预测精度有限），但方向性正确是其能够跑赢基准的关键。</w:t>
      </w:r>
    </w:p>
    <w:p>
      <w:pPr>
        <w:spacing w:line="360" w:lineRule="auto" w:before="0" w:after="0"/>
        <w:ind w:firstLine="839"/>
        <w:jc w:val="both"/>
      </w:pPr>
      <w:r>
        <w:rPr>
          <w:rFonts w:ascii="SimSun" w:hAnsi="SimSun" w:eastAsia="SimSun"/>
          <w:b w:val="0"/>
          <w:sz w:val="21"/>
        </w:rPr>
        <w:t>图 5 展示了随机森林在每个季度的 Rank IC 走势。IC 在不同季度之间波动剧烈，2022 Q1 出现最高值（+0.28），2024 Q3 跌至最低值（-0.60）。这种高波动是金融时间序列的典型特征，也是机器学习策略难以稳定盈利的根本原因之一。</w:t>
      </w:r>
    </w:p>
    <w:p>
      <w:pPr>
        <w:spacing w:line="360" w:lineRule="auto" w:before="120" w:after="40"/>
        <w:jc w:val="center"/>
      </w:pPr>
      <w:r>
        <w:drawing>
          <wp:inline xmlns:a="http://schemas.openxmlformats.org/drawingml/2006/main" xmlns:pic="http://schemas.openxmlformats.org/drawingml/2006/picture">
            <wp:extent cx="5040000" cy="2497939"/>
            <wp:docPr id="5" name="Picture 5"/>
            <wp:cNvGraphicFramePr>
              <a:graphicFrameLocks noChangeAspect="1"/>
            </wp:cNvGraphicFramePr>
            <a:graphic>
              <a:graphicData uri="http://schemas.openxmlformats.org/drawingml/2006/picture">
                <pic:pic>
                  <pic:nvPicPr>
                    <pic:cNvPr id="0" name="fig5_ic_curve.png"/>
                    <pic:cNvPicPr/>
                  </pic:nvPicPr>
                  <pic:blipFill>
                    <a:blip r:embed="rId13"/>
                    <a:stretch>
                      <a:fillRect/>
                    </a:stretch>
                  </pic:blipFill>
                  <pic:spPr>
                    <a:xfrm>
                      <a:off x="0" y="0"/>
                      <a:ext cx="5040000" cy="2497939"/>
                    </a:xfrm>
                    <a:prstGeom prst="rect"/>
                  </pic:spPr>
                </pic:pic>
              </a:graphicData>
            </a:graphic>
          </wp:inline>
        </w:drawing>
      </w:r>
    </w:p>
    <w:p>
      <w:pPr>
        <w:spacing w:line="360" w:lineRule="auto" w:before="0" w:after="120"/>
        <w:jc w:val="center"/>
      </w:pPr>
      <w:r>
        <w:rPr>
          <w:rFonts w:ascii="SimHei" w:hAnsi="SimHei" w:eastAsia="SimHei"/>
          <w:b/>
          <w:sz w:val="21"/>
        </w:rPr>
        <w:t>图 5  随机森林：各季度 IC 与 Rank IC 走势</w:t>
      </w:r>
    </w:p>
    <w:p>
      <w:pPr>
        <w:spacing w:line="360" w:lineRule="auto" w:before="0" w:after="0"/>
        <w:ind w:firstLine="839"/>
        <w:jc w:val="both"/>
      </w:pPr>
      <w:r>
        <w:rPr>
          <w:rFonts w:ascii="SimSun" w:hAnsi="SimSun" w:eastAsia="SimSun"/>
          <w:b w:val="0"/>
          <w:sz w:val="21"/>
        </w:rPr>
        <w:t>图 6 和图 7 分别展示了随机森林和 XGBoost 的因子重要性排序。两个模型对因子重要性的判断高度一致：turn_20d（20 日均量）、rsi_14（RSI 指标）、mom_1m（1 月动量）、vol_change（波动率变化）、reversal_5d（5 日反转）排名前五。这说明量价因子在预测截面收益中起主导作用，而动量因子的相对重要性弱于量价类因子。</w:t>
      </w:r>
    </w:p>
    <w:p>
      <w:pPr>
        <w:spacing w:line="360" w:lineRule="auto" w:before="0" w:after="0"/>
        <w:ind w:firstLine="839"/>
        <w:jc w:val="both"/>
      </w:pPr>
      <w:r>
        <w:rPr>
          <w:rFonts w:ascii="SimSun" w:hAnsi="SimSun" w:eastAsia="SimSun"/>
          <w:b w:val="0"/>
          <w:sz w:val="21"/>
        </w:rPr>
        <w:t>值得注意的是，XGBoost 倾向于使用规模因子（ln_market_cap）和均线乖离率（ma_bias_20），而随机森林更偏好换手率因子。这种差异反映了两类集成模型在特征选择上的不同偏好。</w:t>
      </w:r>
    </w:p>
    <w:p>
      <w:pPr>
        <w:spacing w:line="360" w:lineRule="auto" w:before="120" w:after="40"/>
        <w:jc w:val="center"/>
      </w:pPr>
      <w:r>
        <w:drawing>
          <wp:inline xmlns:a="http://schemas.openxmlformats.org/drawingml/2006/main" xmlns:pic="http://schemas.openxmlformats.org/drawingml/2006/picture">
            <wp:extent cx="5040000" cy="3128716"/>
            <wp:docPr id="6" name="Picture 6"/>
            <wp:cNvGraphicFramePr>
              <a:graphicFrameLocks noChangeAspect="1"/>
            </wp:cNvGraphicFramePr>
            <a:graphic>
              <a:graphicData uri="http://schemas.openxmlformats.org/drawingml/2006/picture">
                <pic:pic>
                  <pic:nvPicPr>
                    <pic:cNvPr id="0" name="fig6_feature_importance.png"/>
                    <pic:cNvPicPr/>
                  </pic:nvPicPr>
                  <pic:blipFill>
                    <a:blip r:embed="rId14"/>
                    <a:stretch>
                      <a:fillRect/>
                    </a:stretch>
                  </pic:blipFill>
                  <pic:spPr>
                    <a:xfrm>
                      <a:off x="0" y="0"/>
                      <a:ext cx="5040000" cy="3128716"/>
                    </a:xfrm>
                    <a:prstGeom prst="rect"/>
                  </pic:spPr>
                </pic:pic>
              </a:graphicData>
            </a:graphic>
          </wp:inline>
        </w:drawing>
      </w:r>
    </w:p>
    <w:p>
      <w:pPr>
        <w:spacing w:line="360" w:lineRule="auto" w:before="0" w:after="120"/>
        <w:jc w:val="center"/>
      </w:pPr>
      <w:r>
        <w:rPr>
          <w:rFonts w:ascii="SimHei" w:hAnsi="SimHei" w:eastAsia="SimHei"/>
          <w:b/>
          <w:sz w:val="21"/>
        </w:rPr>
        <w:t>图 6  随机森林因子重要性排序</w:t>
      </w:r>
    </w:p>
    <w:p>
      <w:pPr>
        <w:spacing w:line="360" w:lineRule="auto" w:before="120" w:after="40"/>
        <w:jc w:val="center"/>
      </w:pPr>
      <w:r>
        <w:drawing>
          <wp:inline xmlns:a="http://schemas.openxmlformats.org/drawingml/2006/main" xmlns:pic="http://schemas.openxmlformats.org/drawingml/2006/picture">
            <wp:extent cx="5040000" cy="3128716"/>
            <wp:docPr id="7" name="Picture 7"/>
            <wp:cNvGraphicFramePr>
              <a:graphicFrameLocks noChangeAspect="1"/>
            </wp:cNvGraphicFramePr>
            <a:graphic>
              <a:graphicData uri="http://schemas.openxmlformats.org/drawingml/2006/picture">
                <pic:pic>
                  <pic:nvPicPr>
                    <pic:cNvPr id="0" name="fig7_xgb_feature_importance.png"/>
                    <pic:cNvPicPr/>
                  </pic:nvPicPr>
                  <pic:blipFill>
                    <a:blip r:embed="rId15"/>
                    <a:stretch>
                      <a:fillRect/>
                    </a:stretch>
                  </pic:blipFill>
                  <pic:spPr>
                    <a:xfrm>
                      <a:off x="0" y="0"/>
                      <a:ext cx="5040000" cy="3128716"/>
                    </a:xfrm>
                    <a:prstGeom prst="rect"/>
                  </pic:spPr>
                </pic:pic>
              </a:graphicData>
            </a:graphic>
          </wp:inline>
        </w:drawing>
      </w:r>
    </w:p>
    <w:p>
      <w:pPr>
        <w:spacing w:line="360" w:lineRule="auto" w:before="0" w:after="120"/>
        <w:jc w:val="center"/>
      </w:pPr>
      <w:r>
        <w:rPr>
          <w:rFonts w:ascii="SimHei" w:hAnsi="SimHei" w:eastAsia="SimHei"/>
          <w:b/>
          <w:sz w:val="21"/>
        </w:rPr>
        <w:t>图 7  XGBoost 因子重要性排序</w:t>
      </w:r>
    </w:p>
    <w:p>
      <w:pPr>
        <w:spacing w:line="360" w:lineRule="auto" w:before="240" w:after="120"/>
        <w:jc w:val="center"/>
      </w:pPr>
      <w:r>
        <w:rPr>
          <w:rFonts w:ascii="SimHei" w:hAnsi="SimHei" w:eastAsia="SimHei"/>
          <w:b/>
          <w:sz w:val="32"/>
        </w:rPr>
        <w:t>五、附加题：持仓数 N 的敏感性分析</w:t>
      </w:r>
    </w:p>
    <w:p>
      <w:pPr>
        <w:spacing w:line="360" w:lineRule="auto" w:before="0" w:after="0"/>
        <w:ind w:firstLine="839"/>
        <w:jc w:val="both"/>
      </w:pPr>
      <w:r>
        <w:rPr>
          <w:rFonts w:ascii="SimSun" w:hAnsi="SimSun" w:eastAsia="SimSun"/>
          <w:b w:val="0"/>
          <w:sz w:val="21"/>
        </w:rPr>
        <w:t>附加题进一步研究了每季度选多少只股票最优这一关键策略参数。本节以随机森林为代表性模型，分别测试 N = 10、30、50、100 四种持仓数（即在每季度末选预测收益排名前 10/30/50/100 名的股票），对比其业绩表现。需要注意的是，N = 100 等价于等权持有全部 100 只股票，对应不做选择的极端情况。</w:t>
      </w:r>
    </w:p>
    <w:p>
      <w:pPr>
        <w:spacing w:line="360" w:lineRule="auto" w:before="0" w:after="0"/>
        <w:ind w:firstLine="839"/>
        <w:jc w:val="both"/>
      </w:pPr>
      <w:r>
        <w:rPr>
          <w:rFonts w:ascii="SimSun" w:hAnsi="SimSun" w:eastAsia="SimSun"/>
          <w:b w:val="0"/>
          <w:sz w:val="21"/>
        </w:rPr>
        <w:t>图 8 展示了四种持仓数下的累计净值曲线（左图）和风险收益指标（右图）。可以看出：</w:t>
      </w:r>
    </w:p>
    <w:p>
      <w:pPr>
        <w:spacing w:line="360" w:lineRule="auto" w:before="0" w:after="0"/>
        <w:ind w:firstLine="839"/>
        <w:jc w:val="both"/>
      </w:pPr>
      <w:r>
        <w:rPr>
          <w:rFonts w:ascii="SimSun" w:hAnsi="SimSun" w:eastAsia="SimSun"/>
          <w:b w:val="0"/>
          <w:sz w:val="21"/>
        </w:rPr>
        <w:t>其一，N = 10 和 N = 30 的策略累计净值最低，最终回落到 0.85-0.90 区间，且波动率显著高于其他两种持仓数。这说明过度集中持仓会放大预测误差——一旦模型在某个季度预测偏误，少数重仓股的下跌会对整体组合造成显著拖累。</w:t>
      </w:r>
    </w:p>
    <w:p>
      <w:pPr>
        <w:spacing w:line="360" w:lineRule="auto" w:before="0" w:after="0"/>
        <w:ind w:firstLine="839"/>
        <w:jc w:val="both"/>
      </w:pPr>
      <w:r>
        <w:rPr>
          <w:rFonts w:ascii="SimSun" w:hAnsi="SimSun" w:eastAsia="SimSun"/>
          <w:b w:val="0"/>
          <w:sz w:val="21"/>
        </w:rPr>
        <w:t>其二，N = 50 和 N = 100 的策略表现接近，Sharpe 比率均为正值（约 0.08），最大回撤约 22%，明显优于 N = 10 和 N = 30。这说明在模型预测能力有限的情况下，适度的分散化是更稳健的选择。</w:t>
      </w:r>
    </w:p>
    <w:p>
      <w:pPr>
        <w:spacing w:line="360" w:lineRule="auto" w:before="0" w:after="0"/>
        <w:ind w:firstLine="839"/>
        <w:jc w:val="both"/>
      </w:pPr>
      <w:r>
        <w:rPr>
          <w:rFonts w:ascii="SimSun" w:hAnsi="SimSun" w:eastAsia="SimSun"/>
          <w:b w:val="0"/>
          <w:sz w:val="21"/>
        </w:rPr>
        <w:t>其三，从绝对水平看，N = 100 的策略略好于 N = 50。这是因为测试期内模型未能稳定跑赢等权基准，不选股本身就是一种相对优势的策略。</w:t>
      </w:r>
    </w:p>
    <w:p>
      <w:pPr>
        <w:spacing w:line="360" w:lineRule="auto" w:before="0" w:after="0"/>
        <w:ind w:firstLine="839"/>
        <w:jc w:val="both"/>
      </w:pPr>
      <w:r>
        <w:rPr>
          <w:rFonts w:ascii="SimSun" w:hAnsi="SimSun" w:eastAsia="SimSun"/>
          <w:b w:val="0"/>
          <w:sz w:val="21"/>
        </w:rPr>
        <w:t>综合以上分析，针对本研究的数据和模型，持仓数 N = 50-100 是相对最优的选择区间。N 过小会放大预测误差，N 过大则接近等权基准，无法体现机器学习选股的价值。在实际应用中，建议根据交易成本、流动性约束和个人风险偏好，在 N = 30-50 区间内寻找最佳的 alpha-成本平衡点。</w:t>
      </w:r>
    </w:p>
    <w:p>
      <w:pPr>
        <w:spacing w:line="360" w:lineRule="auto" w:before="120" w:after="40"/>
        <w:jc w:val="center"/>
      </w:pPr>
      <w:r>
        <w:drawing>
          <wp:inline xmlns:a="http://schemas.openxmlformats.org/drawingml/2006/main" xmlns:pic="http://schemas.openxmlformats.org/drawingml/2006/picture">
            <wp:extent cx="5400000" cy="2002014"/>
            <wp:docPr id="8" name="Picture 8"/>
            <wp:cNvGraphicFramePr>
              <a:graphicFrameLocks noChangeAspect="1"/>
            </wp:cNvGraphicFramePr>
            <a:graphic>
              <a:graphicData uri="http://schemas.openxmlformats.org/drawingml/2006/picture">
                <pic:pic>
                  <pic:nvPicPr>
                    <pic:cNvPr id="0" name="fig8_bonus_n_sensitivity.png"/>
                    <pic:cNvPicPr/>
                  </pic:nvPicPr>
                  <pic:blipFill>
                    <a:blip r:embed="rId16"/>
                    <a:stretch>
                      <a:fillRect/>
                    </a:stretch>
                  </pic:blipFill>
                  <pic:spPr>
                    <a:xfrm>
                      <a:off x="0" y="0"/>
                      <a:ext cx="5400000" cy="2002014"/>
                    </a:xfrm>
                    <a:prstGeom prst="rect"/>
                  </pic:spPr>
                </pic:pic>
              </a:graphicData>
            </a:graphic>
          </wp:inline>
        </w:drawing>
      </w:r>
    </w:p>
    <w:p>
      <w:pPr>
        <w:spacing w:line="360" w:lineRule="auto" w:before="0" w:after="120"/>
        <w:jc w:val="center"/>
      </w:pPr>
      <w:r>
        <w:rPr>
          <w:rFonts w:ascii="SimHei" w:hAnsi="SimHei" w:eastAsia="SimHei"/>
          <w:b/>
          <w:sz w:val="21"/>
        </w:rPr>
        <w:t>图 8  附加题：持仓数 N 的敏感性分析</w:t>
      </w:r>
    </w:p>
    <w:p>
      <w:pPr>
        <w:spacing w:line="360" w:lineRule="auto" w:before="240" w:after="120"/>
        <w:jc w:val="center"/>
      </w:pPr>
      <w:r>
        <w:rPr>
          <w:rFonts w:ascii="SimHei" w:hAnsi="SimHei" w:eastAsia="SimHei"/>
          <w:b/>
          <w:sz w:val="32"/>
        </w:rPr>
        <w:t>六、结论与展望</w:t>
      </w:r>
    </w:p>
    <w:p>
      <w:pPr>
        <w:spacing w:line="360" w:lineRule="auto" w:before="0" w:after="0"/>
        <w:ind w:firstLine="839"/>
        <w:jc w:val="both"/>
      </w:pPr>
      <w:r>
        <w:rPr>
          <w:rFonts w:ascii="SimSun" w:hAnsi="SimSun" w:eastAsia="SimSun"/>
          <w:b w:val="0"/>
          <w:sz w:val="21"/>
        </w:rPr>
        <w:t>本研究实现了基于机器学习的 A 股截面选股策略全流程，包括数据获取、12 个技术面因子的构建、4 类模型的训练、季度 Top-30 选股回测、多模型对比和持仓数敏感性分析。综合实验结果，得出以下主要结论：</w:t>
      </w:r>
    </w:p>
    <w:p>
      <w:pPr>
        <w:spacing w:line="360" w:lineRule="auto" w:before="0" w:after="0"/>
        <w:ind w:firstLine="839"/>
        <w:jc w:val="both"/>
      </w:pPr>
      <w:r>
        <w:rPr>
          <w:rFonts w:ascii="SimSun" w:hAnsi="SimSun" w:eastAsia="SimSun"/>
          <w:b w:val="0"/>
          <w:sz w:val="21"/>
        </w:rPr>
        <w:t>其一，在 2021-2024 测试期内，XGBoost 表现最好（年化 3.10%，Sharpe = 0.17）并成功跑赢等权基准（年化 2.25%），决策树次之（年化 2.40%）也微幅超越基准。XGBoost 的 IC 为正（+0.013），是唯一方向预测正确的模型。线性回归表现最差（年化 -3.83%），说明因子与收益之间存在显著的非线性关系，集成树模型更适合处理此类问题。</w:t>
      </w:r>
    </w:p>
    <w:p>
      <w:pPr>
        <w:spacing w:line="360" w:lineRule="auto" w:before="0" w:after="0"/>
        <w:ind w:firstLine="839"/>
        <w:jc w:val="both"/>
      </w:pPr>
      <w:r>
        <w:rPr>
          <w:rFonts w:ascii="SimSun" w:hAnsi="SimSun" w:eastAsia="SimSun"/>
          <w:b w:val="0"/>
          <w:sz w:val="21"/>
        </w:rPr>
        <w:t>其二，XGBoost 的季度胜率和胜基准率均达 53.3%，是四模型中唯一在两个胜率指标上同时达到或超过 50% 的模型。这一结果验证了集成模型在结构化数据上的优势。</w:t>
      </w:r>
    </w:p>
    <w:p>
      <w:pPr>
        <w:spacing w:line="360" w:lineRule="auto" w:before="0" w:after="0"/>
        <w:ind w:firstLine="839"/>
        <w:jc w:val="both"/>
      </w:pPr>
      <w:r>
        <w:rPr>
          <w:rFonts w:ascii="SimSun" w:hAnsi="SimSun" w:eastAsia="SimSun"/>
          <w:b w:val="0"/>
          <w:sz w:val="21"/>
        </w:rPr>
        <w:t>其三，因子重要性分析显示，量价类因子（换手率、量比、RSI）对截面收益预测贡献最大，动量因子的相对重要性弱于量价类因子，这与近年 A 股量化研究的主流结论一致。</w:t>
      </w:r>
    </w:p>
    <w:p>
      <w:pPr>
        <w:spacing w:line="360" w:lineRule="auto" w:before="0" w:after="0"/>
        <w:ind w:firstLine="839"/>
        <w:jc w:val="both"/>
      </w:pPr>
      <w:r>
        <w:rPr>
          <w:rFonts w:ascii="SimSun" w:hAnsi="SimSun" w:eastAsia="SimSun"/>
          <w:b w:val="0"/>
          <w:sz w:val="21"/>
        </w:rPr>
        <w:t>其四，附加题敏感性分析表明，持仓数 N = 50-100 是相对最优的选择区间。N 过小会放大预测误差，N 过大则接近等权基准，无法体现机器学习选股的价值。</w:t>
      </w:r>
    </w:p>
    <w:p>
      <w:pPr>
        <w:spacing w:line="360" w:lineRule="auto" w:before="0" w:after="0"/>
        <w:ind w:firstLine="839"/>
        <w:jc w:val="both"/>
      </w:pPr>
      <w:r>
        <w:rPr>
          <w:rFonts w:ascii="SimSun" w:hAnsi="SimSun" w:eastAsia="SimSun"/>
          <w:b w:val="0"/>
          <w:sz w:val="21"/>
        </w:rPr>
        <w:t>本研究仍有许多改进空间，未来可以从以下方向继续探索：其一，引入基本面因子（PE、PB、ROE、营收增速等），构建更全面的多因子体系；其二，增加因子中性化处理（行业中性、市值中性），剔除风格暴露的影响；其三，尝试更先进的模型如 LightGBM、CatBoost、神经网络等；其四，引入交易成本和冲击成本模型，更真实地反映实盘业绩；其五，在更长的时间窗口和不同市场环境下验证策略的稳健性。</w:t>
      </w:r>
    </w:p>
    <w:p>
      <w:pPr>
        <w:spacing w:line="360" w:lineRule="auto" w:before="0" w:after="0"/>
        <w:ind w:firstLine="839"/>
        <w:jc w:val="both"/>
      </w:pPr>
      <w:r>
        <w:rPr>
          <w:rFonts w:ascii="SimSun" w:hAnsi="SimSun" w:eastAsia="SimSun"/>
          <w:b w:val="0"/>
          <w:sz w:val="21"/>
        </w:rPr>
        <w:t>机器学习与量化交易的结合仍是当前金融工程领域最活跃的研究方向之一。本研究作为一个基础性探索，验证了完整流程的可行性，也揭示了实盘中需要关注的诸多挑战。希望通过持续的研究与迭代，能够构建出真正稳定盈利的机器学习交易策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