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宋体" w:hAnsi="宋体" w:eastAsia="宋体"/>
          <w:b/>
          <w:sz w:val="32"/>
        </w:rPr>
        <w:t>海龟交易策略：唐奇安通道与 ATR 动态止损</w:t>
      </w:r>
    </w:p>
    <w:p>
      <w:pPr>
        <w:spacing w:line="360" w:lineRule="auto" w:before="0" w:after="0"/>
        <w:jc w:val="center"/>
      </w:pPr>
      <w:r>
        <w:rPr>
          <w:rFonts w:ascii="宋体" w:hAnsi="宋体" w:eastAsia="宋体"/>
          <w:b/>
          <w:sz w:val="28"/>
        </w:rPr>
        <w:t>TASK4 作业报告</w:t>
      </w:r>
    </w:p>
    <w:p>
      <w:pPr>
        <w:spacing w:line="360" w:lineRule="auto" w:before="0" w:after="0"/>
        <w:jc w:val="center"/>
      </w:pPr>
      <w:r>
        <w:rPr>
          <w:rFonts w:ascii="宋体" w:hAnsi="宋体" w:eastAsia="宋体"/>
          <w:sz w:val="21"/>
        </w:rPr>
        <w:t>姓名：林富强</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一、海龟交易策略核心思想与关键优势</w:t>
      </w:r>
    </w:p>
    <w:p>
      <w:pPr>
        <w:spacing w:line="360" w:lineRule="auto" w:before="0" w:after="0"/>
        <w:ind w:firstLine="420"/>
        <w:jc w:val="both"/>
      </w:pPr>
      <w:r>
        <w:rPr>
          <w:rFonts w:ascii="宋体" w:hAnsi="宋体" w:eastAsia="宋体"/>
          <w:b w:val="0"/>
          <w:sz w:val="21"/>
        </w:rPr>
        <w:t>海龟交易策略（Turtle Trading System）起源于1983年美国期货交易员理查德·丹尼斯（Richard Dennis）与威廉·埃克哈特（William Eckhardt）的著名实验。丹尼斯认为交易技能可以通过系统化训练习得，而非天赋。他招募了一批毫无交易经验的学员，教授他们一套完整的趋势跟踪交易系统，这些学员后来被称为"海龟"。实验结果证明，这套规则化的策略在多种期货市场中取得了显著的长期收益。</w:t>
      </w:r>
    </w:p>
    <w:p>
      <w:pPr>
        <w:spacing w:line="360" w:lineRule="auto" w:before="0" w:after="0"/>
        <w:ind w:firstLine="420"/>
        <w:jc w:val="both"/>
      </w:pPr>
      <w:r>
        <w:rPr>
          <w:rFonts w:ascii="宋体" w:hAnsi="宋体" w:eastAsia="宋体"/>
          <w:b w:val="0"/>
          <w:sz w:val="21"/>
        </w:rPr>
        <w:t>海龟策略的核心思想可以概括为：跟随趋势、严格纪律、科学风控。具体而言，它是一套完整的趋势跟踪交易系统，通过识别价格突破来捕捉市场趋势，利用平均真实波幅（ATR）进行动态仓位管理和止损控制，并通过严格的纪律确保交易规则的一致执行。</w:t>
      </w:r>
    </w:p>
    <w:p>
      <w:pPr>
        <w:spacing w:line="360" w:lineRule="auto" w:before="0" w:after="0"/>
        <w:ind w:firstLine="0"/>
        <w:jc w:val="left"/>
      </w:pPr>
      <w:r>
        <w:rPr>
          <w:rFonts w:ascii="宋体" w:hAnsi="宋体" w:eastAsia="宋体"/>
          <w:b/>
          <w:sz w:val="21"/>
        </w:rPr>
        <w:t>1.1 海龟策略的关键优势</w:t>
      </w:r>
    </w:p>
    <w:p>
      <w:pPr>
        <w:spacing w:line="360" w:lineRule="auto" w:before="0" w:after="0"/>
        <w:ind w:firstLine="420"/>
        <w:jc w:val="both"/>
      </w:pPr>
      <w:r>
        <w:rPr>
          <w:rFonts w:ascii="宋体" w:hAnsi="宋体" w:eastAsia="宋体"/>
          <w:b w:val="0"/>
          <w:sz w:val="21"/>
        </w:rPr>
        <w:t>（1）规则化交易，消除情绪干扰：海龟策略将交易决策完全规则化，从入场、加仓、止损到出场都有明确的数学规则。交易者不需要判断市场方向，只需机械执行规则，从而避免了贪婪、恐惧等情绪对交易决策的干扰。</w:t>
      </w:r>
    </w:p>
    <w:p>
      <w:pPr>
        <w:spacing w:line="360" w:lineRule="auto" w:before="0" w:after="0"/>
        <w:ind w:firstLine="420"/>
        <w:jc w:val="both"/>
      </w:pPr>
      <w:r>
        <w:rPr>
          <w:rFonts w:ascii="宋体" w:hAnsi="宋体" w:eastAsia="宋体"/>
          <w:b w:val="0"/>
          <w:sz w:val="21"/>
        </w:rPr>
        <w:t>（2）趋势跟踪，捕捉大行情：策略基于价格突破设计，天然具有趋势跟踪属性。当市场形成明显趋势时，策略能够及时介入并持有，直到趋势反转。这种让利润奔跑（Let Profits Run）的哲学使策略在趋势行情中能够获取显著收益。</w:t>
      </w:r>
    </w:p>
    <w:p>
      <w:pPr>
        <w:spacing w:line="360" w:lineRule="auto" w:before="0" w:after="0"/>
        <w:ind w:firstLine="420"/>
        <w:jc w:val="both"/>
      </w:pPr>
      <w:r>
        <w:rPr>
          <w:rFonts w:ascii="宋体" w:hAnsi="宋体" w:eastAsia="宋体"/>
          <w:b w:val="0"/>
          <w:sz w:val="21"/>
        </w:rPr>
        <w:t>（3）动态仓位管理，精细化风险控制：通过 ATR 计算单位头寸，确保每个单位的风险恒定（通常为账户资金的1%）。市场波动大时自动减少仓位，波动小时自动增加仓位，实现了风险暴露的动态平衡。</w:t>
      </w:r>
    </w:p>
    <w:p>
      <w:pPr>
        <w:spacing w:line="360" w:lineRule="auto" w:before="0" w:after="0"/>
        <w:ind w:firstLine="420"/>
        <w:jc w:val="both"/>
      </w:pPr>
      <w:r>
        <w:rPr>
          <w:rFonts w:ascii="宋体" w:hAnsi="宋体" w:eastAsia="宋体"/>
          <w:b w:val="0"/>
          <w:sz w:val="21"/>
        </w:rPr>
        <w:t>（4）金字塔加仓，放大盈利：在趋势确认后，策略允许最多加仓至4个单位，每上涨0.5倍ATR增加一个单位。这种金字塔式加仓在趋势延续时放大盈利，同时由于每个单位的止损独立计算，整体风险仍然可控。</w:t>
      </w:r>
    </w:p>
    <w:p>
      <w:pPr>
        <w:spacing w:line="360" w:lineRule="auto" w:before="0" w:after="0"/>
        <w:ind w:firstLine="420"/>
        <w:jc w:val="both"/>
      </w:pPr>
      <w:r>
        <w:rPr>
          <w:rFonts w:ascii="宋体" w:hAnsi="宋体" w:eastAsia="宋体"/>
          <w:b w:val="0"/>
          <w:sz w:val="21"/>
        </w:rPr>
        <w:t>（5）适应性止损，保护利润：动态止损价跟随入场价和ATR调整，波动大时止损距离放宽（避免正常波动误触发），波动小时止损距离收紧（更好保护利润）。这种自适应机制提高了止损的有效性。</w:t>
      </w:r>
    </w:p>
    <w:p>
      <w:pPr>
        <w:spacing w:line="360" w:lineRule="auto" w:before="0" w:after="0"/>
        <w:ind w:firstLine="420"/>
        <w:jc w:val="both"/>
      </w:pPr>
      <w:r>
        <w:rPr>
          <w:rFonts w:ascii="宋体" w:hAnsi="宋体" w:eastAsia="宋体"/>
          <w:b w:val="0"/>
          <w:sz w:val="21"/>
        </w:rPr>
        <w:t>（6）严格的纪律性：策略要求所有信号必须执行，触发止损必须立即离场，不留犹豫空间。这种铁一般的纪律是海龟策略能够在长期中生存并获得正收益的根本保障。</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二、海龟策略核心概念解释</w:t>
      </w:r>
    </w:p>
    <w:p>
      <w:pPr>
        <w:spacing w:line="360" w:lineRule="auto" w:before="0" w:after="0"/>
        <w:ind w:firstLine="0"/>
        <w:jc w:val="left"/>
      </w:pPr>
      <w:r>
        <w:rPr>
          <w:rFonts w:ascii="宋体" w:hAnsi="宋体" w:eastAsia="宋体"/>
          <w:b/>
          <w:sz w:val="21"/>
        </w:rPr>
        <w:t>2.1 唐奇安通道（Donchian Channel）——高低价格通道</w:t>
      </w:r>
    </w:p>
    <w:p>
      <w:pPr>
        <w:spacing w:line="360" w:lineRule="auto" w:before="0" w:after="0"/>
        <w:ind w:firstLine="420"/>
        <w:jc w:val="both"/>
      </w:pPr>
      <w:r>
        <w:rPr>
          <w:rFonts w:ascii="宋体" w:hAnsi="宋体" w:eastAsia="宋体"/>
          <w:b w:val="0"/>
          <w:sz w:val="21"/>
        </w:rPr>
        <w:t>唐奇安通道是海龟策略的入场和出场核心工具，由理查德·唐奇安（Richard Donchian）提出。它由两条线组成：上轨为过去N个交易日的最高价，下轨为过去N个交易日的最低价。当价格突破上轨时，视为潜在的上涨趋势启动信号；当价格跌破下轨时，视为趋势反转或结束信号。</w:t>
      </w:r>
    </w:p>
    <w:p>
      <w:pPr>
        <w:spacing w:line="360" w:lineRule="auto" w:before="0" w:after="0"/>
        <w:ind w:firstLine="420"/>
        <w:jc w:val="both"/>
      </w:pPr>
      <w:r>
        <w:rPr>
          <w:rFonts w:ascii="宋体" w:hAnsi="宋体" w:eastAsia="宋体"/>
          <w:b w:val="0"/>
          <w:sz w:val="21"/>
        </w:rPr>
        <w:t>海龟策略设计了两个系统：系统一（S1）使用较短的周期（突破20日最高价买入，跌破10日最低价卖出），更敏感、信号更多、但假突破也较多；系统二（S2）使用较长的周期（突破55日最高价买入，跌破20日最低价卖出），更稳健、过滤更多噪音、但信号更少。通常两个系统同时运行以分散风险。</w:t>
      </w:r>
    </w:p>
    <w:p>
      <w:pPr>
        <w:spacing w:line="360" w:lineRule="auto" w:before="0" w:after="0"/>
        <w:ind w:firstLine="0"/>
        <w:jc w:val="left"/>
      </w:pPr>
      <w:r>
        <w:rPr>
          <w:rFonts w:ascii="宋体" w:hAnsi="宋体" w:eastAsia="宋体"/>
          <w:b/>
          <w:sz w:val="21"/>
        </w:rPr>
        <w:t>2.2 平均真实波幅（ATR）——动态波动度量</w:t>
      </w:r>
    </w:p>
    <w:p>
      <w:pPr>
        <w:spacing w:line="360" w:lineRule="auto" w:before="0" w:after="0"/>
        <w:ind w:firstLine="420"/>
        <w:jc w:val="both"/>
      </w:pPr>
      <w:r>
        <w:rPr>
          <w:rFonts w:ascii="宋体" w:hAnsi="宋体" w:eastAsia="宋体"/>
          <w:b w:val="0"/>
          <w:sz w:val="21"/>
        </w:rPr>
        <w:t>平均真实波幅（Average True Range, ATR）由J. Welles Wilder Jr.提出，是衡量市场波动性的核心指标。真实波幅（TR）取以下三者中的最大值：（1）当日最高价 - 当日最低价；（2）当日最高价 - 前日收盘价的绝对值；（3）当日最低价 - 前日收盘价的绝对值。ATR 则是真实波幅的N日简单移动平均（海龟策略通常使用20日ATR）。</w:t>
      </w:r>
    </w:p>
    <w:p>
      <w:pPr>
        <w:spacing w:line="360" w:lineRule="auto" w:before="0" w:after="0"/>
        <w:ind w:firstLine="420"/>
        <w:jc w:val="both"/>
      </w:pPr>
      <w:r>
        <w:rPr>
          <w:rFonts w:ascii="宋体" w:hAnsi="宋体" w:eastAsia="宋体"/>
          <w:b w:val="0"/>
          <w:sz w:val="21"/>
        </w:rPr>
        <w:t>ATR 在海龟策略中承担三个关键角色：（1）仓位计算：单位头寸 =（账户资金 × 1%）/ ATR，确保每个单位的风险恒定；（2）止损设定：止损价 = 入场价 - 2 × ATR，给予策略足够的呼吸空间，同时保护资本；（3）加仓触发：每上涨0.5 × ATR增加一个单位，在趋势延续中逐步放大盈利。</w:t>
      </w:r>
    </w:p>
    <w:p>
      <w:pPr>
        <w:spacing w:line="360" w:lineRule="auto" w:before="0" w:after="0"/>
        <w:ind w:firstLine="0"/>
        <w:jc w:val="left"/>
      </w:pPr>
      <w:r>
        <w:rPr>
          <w:rFonts w:ascii="宋体" w:hAnsi="宋体" w:eastAsia="宋体"/>
          <w:b/>
          <w:sz w:val="21"/>
        </w:rPr>
        <w:t>2.3 止损条件——双重保护机制</w:t>
      </w:r>
    </w:p>
    <w:p>
      <w:pPr>
        <w:spacing w:line="360" w:lineRule="auto" w:before="0" w:after="0"/>
        <w:ind w:firstLine="420"/>
        <w:jc w:val="both"/>
      </w:pPr>
      <w:r>
        <w:rPr>
          <w:rFonts w:ascii="宋体" w:hAnsi="宋体" w:eastAsia="宋体"/>
          <w:b w:val="0"/>
          <w:sz w:val="21"/>
        </w:rPr>
        <w:t>海龟策略的止损系统包含两个层次：（1）固定ATR止损：每个单位建立时设定止损价 = 入场价 - 2 × ATR。如果价格跌破止损价，立即平仓离场。该止损是动态计算的，随市场波动自动调整，波动大时止损距离放宽，波动小时收紧。（2）反向突破出场：当价格跌破 exit_window 日最低价时，视为趋势结束信号，无论当前盈亏全部清仓。这一机制确保在趋势反转时及时离场，避免利润大幅回吐。</w:t>
      </w:r>
    </w:p>
    <w:p>
      <w:pPr>
        <w:spacing w:line="360" w:lineRule="auto" w:before="0" w:after="0"/>
        <w:ind w:firstLine="420"/>
        <w:jc w:val="both"/>
      </w:pPr>
      <w:r>
        <w:rPr>
          <w:rFonts w:ascii="宋体" w:hAnsi="宋体" w:eastAsia="宋体"/>
          <w:b w:val="0"/>
          <w:sz w:val="21"/>
        </w:rPr>
        <w:t>两个出场条件的关系：ATR止损优先保护本金，防止单笔大幅亏损；反向突破出场则优先保护利润，让盈利头寸尽可能长时间地增长。在实际运行中， whichever comes first 即触发。</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三、Python 实现与回测结果</w:t>
      </w:r>
    </w:p>
    <w:p>
      <w:pPr>
        <w:spacing w:line="360" w:lineRule="auto" w:before="0" w:after="0"/>
        <w:ind w:firstLine="0"/>
        <w:jc w:val="left"/>
      </w:pPr>
      <w:r>
        <w:rPr>
          <w:rFonts w:ascii="宋体" w:hAnsi="宋体" w:eastAsia="宋体"/>
          <w:b/>
          <w:sz w:val="21"/>
        </w:rPr>
        <w:t>3.1 数据加载与指标计算</w:t>
      </w:r>
    </w:p>
    <w:p>
      <w:pPr>
        <w:spacing w:line="360" w:lineRule="auto" w:before="0" w:after="0"/>
        <w:ind w:firstLine="420"/>
        <w:jc w:val="both"/>
      </w:pPr>
      <w:r>
        <w:rPr>
          <w:rFonts w:ascii="宋体" w:hAnsi="宋体" w:eastAsia="宋体"/>
          <w:b w:val="0"/>
          <w:sz w:val="21"/>
        </w:rPr>
        <w:t>本任务使用 TASK1 中已存储的长江电力（600900.SH）日线数据，包含开盘价、最高价、最低价、收盘价、成交量等字段。通过 Python pandas 加载数据后，计算唐奇安通道（20日最高价/最低价）和 ATR（20日）。</w:t>
      </w:r>
    </w:p>
    <w:p>
      <w:pPr>
        <w:spacing w:line="360" w:lineRule="auto" w:before="0" w:after="0"/>
        <w:ind w:firstLine="420"/>
        <w:jc w:val="both"/>
      </w:pPr>
      <w:r>
        <w:rPr>
          <w:rFonts w:ascii="宋体" w:hAnsi="宋体" w:eastAsia="宋体"/>
          <w:b w:val="0"/>
          <w:sz w:val="21"/>
        </w:rPr>
        <w:t>图1展示了长江电价的股价走势与唐奇安通道的可视化结果。上轨（红色虚线）代表过去20日最高价，下轨（蓝色虚线）代表过去20日最低价，黄色填充区域为唐奇安通道区间。当价格向上突破上轨时，生成买入信号（红色三角标记）；当价格跌破下轨时，生成卖出信号（绿色倒三角标记）。</w:t>
      </w:r>
    </w:p>
    <w:p>
      <w:pPr>
        <w:spacing w:before="120" w:after="0"/>
        <w:jc w:val="center"/>
      </w:pPr>
      <w:r>
        <w:drawing>
          <wp:inline xmlns:a="http://schemas.openxmlformats.org/drawingml/2006/main" xmlns:pic="http://schemas.openxmlformats.org/drawingml/2006/picture">
            <wp:extent cx="5040000" cy="2332748"/>
            <wp:docPr id="1" name="Picture 1"/>
            <wp:cNvGraphicFramePr>
              <a:graphicFrameLocks noChangeAspect="1"/>
            </wp:cNvGraphicFramePr>
            <a:graphic>
              <a:graphicData uri="http://schemas.openxmlformats.org/drawingml/2006/picture">
                <pic:pic>
                  <pic:nvPicPr>
                    <pic:cNvPr id="0" name="strategy.png"/>
                    <pic:cNvPicPr/>
                  </pic:nvPicPr>
                  <pic:blipFill>
                    <a:blip r:embed="rId9"/>
                    <a:stretch>
                      <a:fillRect/>
                    </a:stretch>
                  </pic:blipFill>
                  <pic:spPr>
                    <a:xfrm>
                      <a:off x="0" y="0"/>
                      <a:ext cx="5040000" cy="2332748"/>
                    </a:xfrm>
                    <a:prstGeom prst="rect"/>
                  </pic:spPr>
                </pic:pic>
              </a:graphicData>
            </a:graphic>
          </wp:inline>
        </w:drawing>
      </w:r>
    </w:p>
    <w:p>
      <w:pPr>
        <w:spacing w:line="360" w:lineRule="auto" w:before="0" w:after="120"/>
        <w:jc w:val="center"/>
      </w:pPr>
      <w:r>
        <w:rPr>
          <w:rFonts w:ascii="宋体" w:hAnsi="宋体" w:eastAsia="宋体"/>
          <w:b/>
          <w:sz w:val="20"/>
        </w:rPr>
        <w:t>图1 长江电力海龟策略交易信号图（唐奇安通道 + 买卖信号）</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3.2 回测绩效指标</w:t>
      </w:r>
    </w:p>
    <w:p>
      <w:pPr>
        <w:spacing w:line="360" w:lineRule="auto" w:before="0" w:after="0"/>
        <w:ind w:firstLine="420"/>
        <w:jc w:val="both"/>
      </w:pPr>
      <w:r>
        <w:rPr>
          <w:rFonts w:ascii="宋体" w:hAnsi="宋体" w:eastAsia="宋体"/>
          <w:b w:val="0"/>
          <w:sz w:val="21"/>
        </w:rPr>
        <w:t>基于长江电力近一年数据，使用海龟策略系统一（突破20日最高买入，跌破10日最低卖出）进行回测，初始资金为100,000元。回测结果如下表所示：</w:t>
      </w:r>
    </w:p>
    <w:tbl>
      <w:tblPr>
        <w:tblStyle w:val="TableGrid"/>
        <w:tblW w:type="auto" w:w="0"/>
        <w:tblLook w:firstColumn="1" w:firstRow="1" w:lastColumn="0" w:lastRow="0" w:noHBand="0" w:noVBand="1" w:val="04A0"/>
      </w:tblPr>
      <w:tblGrid>
        <w:gridCol w:w="4323"/>
        <w:gridCol w:w="4323"/>
      </w:tblGrid>
      <w:tr>
        <w:tc>
          <w:tcPr>
            <w:tcW w:type="dxa" w:w="4323"/>
          </w:tcPr>
          <w:p>
            <w:pPr>
              <w:spacing w:line="360" w:lineRule="auto" w:before="0" w:after="0"/>
              <w:jc w:val="both"/>
            </w:pPr>
            <w:r>
              <w:rPr>
                <w:rFonts w:ascii="宋体" w:hAnsi="宋体" w:eastAsia="宋体"/>
                <w:b/>
                <w:sz w:val="21"/>
              </w:rPr>
              <w:t>指标</w:t>
            </w:r>
          </w:p>
        </w:tc>
        <w:tc>
          <w:tcPr>
            <w:tcW w:type="dxa" w:w="4323"/>
          </w:tcPr>
          <w:p>
            <w:pPr>
              <w:spacing w:line="360" w:lineRule="auto" w:before="0" w:after="0"/>
              <w:jc w:val="both"/>
            </w:pPr>
            <w:r>
              <w:rPr>
                <w:rFonts w:ascii="宋体" w:hAnsi="宋体" w:eastAsia="宋体"/>
                <w:b/>
                <w:sz w:val="21"/>
              </w:rPr>
              <w:t>数值</w:t>
            </w:r>
          </w:p>
        </w:tc>
      </w:tr>
      <w:tr>
        <w:tc>
          <w:tcPr>
            <w:tcW w:type="dxa" w:w="4323"/>
          </w:tcPr>
          <w:p>
            <w:pPr>
              <w:spacing w:line="360" w:lineRule="auto" w:before="0" w:after="0"/>
              <w:jc w:val="both"/>
            </w:pPr>
            <w:r>
              <w:rPr>
                <w:rFonts w:ascii="宋体" w:hAnsi="宋体" w:eastAsia="宋体"/>
                <w:b w:val="0"/>
                <w:sz w:val="21"/>
              </w:rPr>
              <w:t>初始资金</w:t>
            </w:r>
          </w:p>
        </w:tc>
        <w:tc>
          <w:tcPr>
            <w:tcW w:type="dxa" w:w="4323"/>
          </w:tcPr>
          <w:p>
            <w:pPr>
              <w:spacing w:line="360" w:lineRule="auto" w:before="0" w:after="0"/>
              <w:jc w:val="both"/>
            </w:pPr>
            <w:r>
              <w:rPr>
                <w:rFonts w:ascii="宋体" w:hAnsi="宋体" w:eastAsia="宋体"/>
                <w:b w:val="0"/>
                <w:sz w:val="21"/>
              </w:rPr>
              <w:t>100,000 元</w:t>
            </w:r>
          </w:p>
        </w:tc>
      </w:tr>
      <w:tr>
        <w:tc>
          <w:tcPr>
            <w:tcW w:type="dxa" w:w="4323"/>
          </w:tcPr>
          <w:p>
            <w:pPr>
              <w:spacing w:line="360" w:lineRule="auto" w:before="0" w:after="0"/>
              <w:jc w:val="both"/>
            </w:pPr>
            <w:r>
              <w:rPr>
                <w:rFonts w:ascii="宋体" w:hAnsi="宋体" w:eastAsia="宋体"/>
                <w:b w:val="0"/>
                <w:sz w:val="21"/>
              </w:rPr>
              <w:t>最终资金</w:t>
            </w:r>
          </w:p>
        </w:tc>
        <w:tc>
          <w:tcPr>
            <w:tcW w:type="dxa" w:w="4323"/>
          </w:tcPr>
          <w:p>
            <w:pPr>
              <w:spacing w:line="360" w:lineRule="auto" w:before="0" w:after="0"/>
              <w:jc w:val="both"/>
            </w:pPr>
            <w:r>
              <w:rPr>
                <w:rFonts w:ascii="宋体" w:hAnsi="宋体" w:eastAsia="宋体"/>
                <w:b w:val="0"/>
                <w:sz w:val="21"/>
              </w:rPr>
              <w:t>93,798.17 元</w:t>
            </w:r>
          </w:p>
        </w:tc>
      </w:tr>
      <w:tr>
        <w:tc>
          <w:tcPr>
            <w:tcW w:type="dxa" w:w="4323"/>
          </w:tcPr>
          <w:p>
            <w:pPr>
              <w:spacing w:line="360" w:lineRule="auto" w:before="0" w:after="0"/>
              <w:jc w:val="both"/>
            </w:pPr>
            <w:r>
              <w:rPr>
                <w:rFonts w:ascii="宋体" w:hAnsi="宋体" w:eastAsia="宋体"/>
                <w:b w:val="0"/>
                <w:sz w:val="21"/>
              </w:rPr>
              <w:t>总收益率</w:t>
            </w:r>
          </w:p>
        </w:tc>
        <w:tc>
          <w:tcPr>
            <w:tcW w:type="dxa" w:w="4323"/>
          </w:tcPr>
          <w:p>
            <w:pPr>
              <w:spacing w:line="360" w:lineRule="auto" w:before="0" w:after="0"/>
              <w:jc w:val="both"/>
            </w:pPr>
            <w:r>
              <w:rPr>
                <w:rFonts w:ascii="宋体" w:hAnsi="宋体" w:eastAsia="宋体"/>
                <w:b w:val="0"/>
                <w:sz w:val="21"/>
              </w:rPr>
              <w:t>-6.20%</w:t>
            </w:r>
          </w:p>
        </w:tc>
      </w:tr>
      <w:tr>
        <w:tc>
          <w:tcPr>
            <w:tcW w:type="dxa" w:w="4323"/>
          </w:tcPr>
          <w:p>
            <w:pPr>
              <w:spacing w:line="360" w:lineRule="auto" w:before="0" w:after="0"/>
              <w:jc w:val="both"/>
            </w:pPr>
            <w:r>
              <w:rPr>
                <w:rFonts w:ascii="宋体" w:hAnsi="宋体" w:eastAsia="宋体"/>
                <w:b w:val="0"/>
                <w:sz w:val="21"/>
              </w:rPr>
              <w:t>年化收益率</w:t>
            </w:r>
          </w:p>
        </w:tc>
        <w:tc>
          <w:tcPr>
            <w:tcW w:type="dxa" w:w="4323"/>
          </w:tcPr>
          <w:p>
            <w:pPr>
              <w:spacing w:line="360" w:lineRule="auto" w:before="0" w:after="0"/>
              <w:jc w:val="both"/>
            </w:pPr>
            <w:r>
              <w:rPr>
                <w:rFonts w:ascii="宋体" w:hAnsi="宋体" w:eastAsia="宋体"/>
                <w:b w:val="0"/>
                <w:sz w:val="21"/>
              </w:rPr>
              <w:t>-6.95%</w:t>
            </w:r>
          </w:p>
        </w:tc>
      </w:tr>
      <w:tr>
        <w:tc>
          <w:tcPr>
            <w:tcW w:type="dxa" w:w="4323"/>
          </w:tcPr>
          <w:p>
            <w:pPr>
              <w:spacing w:line="360" w:lineRule="auto" w:before="0" w:after="0"/>
              <w:jc w:val="both"/>
            </w:pPr>
            <w:r>
              <w:rPr>
                <w:rFonts w:ascii="宋体" w:hAnsi="宋体" w:eastAsia="宋体"/>
                <w:b w:val="0"/>
                <w:sz w:val="21"/>
              </w:rPr>
              <w:t>买入持有收益率</w:t>
            </w:r>
          </w:p>
        </w:tc>
        <w:tc>
          <w:tcPr>
            <w:tcW w:type="dxa" w:w="4323"/>
          </w:tcPr>
          <w:p>
            <w:pPr>
              <w:spacing w:line="360" w:lineRule="auto" w:before="0" w:after="0"/>
              <w:jc w:val="both"/>
            </w:pPr>
            <w:r>
              <w:rPr>
                <w:rFonts w:ascii="宋体" w:hAnsi="宋体" w:eastAsia="宋体"/>
                <w:b w:val="0"/>
                <w:sz w:val="21"/>
              </w:rPr>
              <w:t>-5.87%</w:t>
            </w:r>
          </w:p>
        </w:tc>
      </w:tr>
      <w:tr>
        <w:tc>
          <w:tcPr>
            <w:tcW w:type="dxa" w:w="4323"/>
          </w:tcPr>
          <w:p>
            <w:pPr>
              <w:spacing w:line="360" w:lineRule="auto" w:before="0" w:after="0"/>
              <w:jc w:val="both"/>
            </w:pPr>
            <w:r>
              <w:rPr>
                <w:rFonts w:ascii="宋体" w:hAnsi="宋体" w:eastAsia="宋体"/>
                <w:b w:val="0"/>
                <w:sz w:val="21"/>
              </w:rPr>
              <w:t>超额收益</w:t>
            </w:r>
          </w:p>
        </w:tc>
        <w:tc>
          <w:tcPr>
            <w:tcW w:type="dxa" w:w="4323"/>
          </w:tcPr>
          <w:p>
            <w:pPr>
              <w:spacing w:line="360" w:lineRule="auto" w:before="0" w:after="0"/>
              <w:jc w:val="both"/>
            </w:pPr>
            <w:r>
              <w:rPr>
                <w:rFonts w:ascii="宋体" w:hAnsi="宋体" w:eastAsia="宋体"/>
                <w:b w:val="0"/>
                <w:sz w:val="21"/>
              </w:rPr>
              <w:t>-0.33%</w:t>
            </w:r>
          </w:p>
        </w:tc>
      </w:tr>
      <w:tr>
        <w:tc>
          <w:tcPr>
            <w:tcW w:type="dxa" w:w="4323"/>
          </w:tcPr>
          <w:p>
            <w:pPr>
              <w:spacing w:line="360" w:lineRule="auto" w:before="0" w:after="0"/>
              <w:jc w:val="both"/>
            </w:pPr>
            <w:r>
              <w:rPr>
                <w:rFonts w:ascii="宋体" w:hAnsi="宋体" w:eastAsia="宋体"/>
                <w:b w:val="0"/>
                <w:sz w:val="21"/>
              </w:rPr>
              <w:t>最大回撤（MDD）</w:t>
            </w:r>
          </w:p>
        </w:tc>
        <w:tc>
          <w:tcPr>
            <w:tcW w:type="dxa" w:w="4323"/>
          </w:tcPr>
          <w:p>
            <w:pPr>
              <w:spacing w:line="360" w:lineRule="auto" w:before="0" w:after="0"/>
              <w:jc w:val="both"/>
            </w:pPr>
            <w:r>
              <w:rPr>
                <w:rFonts w:ascii="宋体" w:hAnsi="宋体" w:eastAsia="宋体"/>
                <w:b w:val="0"/>
                <w:sz w:val="21"/>
              </w:rPr>
              <w:t>-7.41%</w:t>
            </w:r>
          </w:p>
        </w:tc>
      </w:tr>
      <w:tr>
        <w:tc>
          <w:tcPr>
            <w:tcW w:type="dxa" w:w="4323"/>
          </w:tcPr>
          <w:p>
            <w:pPr>
              <w:spacing w:line="360" w:lineRule="auto" w:before="0" w:after="0"/>
              <w:jc w:val="both"/>
            </w:pPr>
            <w:r>
              <w:rPr>
                <w:rFonts w:ascii="宋体" w:hAnsi="宋体" w:eastAsia="宋体"/>
                <w:b w:val="0"/>
                <w:sz w:val="21"/>
              </w:rPr>
              <w:t>夏普比率（Sharpe）</w:t>
            </w:r>
          </w:p>
        </w:tc>
        <w:tc>
          <w:tcPr>
            <w:tcW w:type="dxa" w:w="4323"/>
          </w:tcPr>
          <w:p>
            <w:pPr>
              <w:spacing w:line="360" w:lineRule="auto" w:before="0" w:after="0"/>
              <w:jc w:val="both"/>
            </w:pPr>
            <w:r>
              <w:rPr>
                <w:rFonts w:ascii="宋体" w:hAnsi="宋体" w:eastAsia="宋体"/>
                <w:b w:val="0"/>
                <w:sz w:val="21"/>
              </w:rPr>
              <w:t>-1.719</w:t>
            </w:r>
          </w:p>
        </w:tc>
      </w:tr>
      <w:tr>
        <w:tc>
          <w:tcPr>
            <w:tcW w:type="dxa" w:w="4323"/>
          </w:tcPr>
          <w:p>
            <w:pPr>
              <w:spacing w:line="360" w:lineRule="auto" w:before="0" w:after="0"/>
              <w:jc w:val="both"/>
            </w:pPr>
            <w:r>
              <w:rPr>
                <w:rFonts w:ascii="宋体" w:hAnsi="宋体" w:eastAsia="宋体"/>
                <w:b w:val="0"/>
                <w:sz w:val="21"/>
              </w:rPr>
              <w:t>索提诺比率（Sortino）</w:t>
            </w:r>
          </w:p>
        </w:tc>
        <w:tc>
          <w:tcPr>
            <w:tcW w:type="dxa" w:w="4323"/>
          </w:tcPr>
          <w:p>
            <w:pPr>
              <w:spacing w:line="360" w:lineRule="auto" w:before="0" w:after="0"/>
              <w:jc w:val="both"/>
            </w:pPr>
            <w:r>
              <w:rPr>
                <w:rFonts w:ascii="宋体" w:hAnsi="宋体" w:eastAsia="宋体"/>
                <w:b w:val="0"/>
                <w:sz w:val="21"/>
              </w:rPr>
              <w:t>-1.499</w:t>
            </w:r>
          </w:p>
        </w:tc>
      </w:tr>
      <w:tr>
        <w:tc>
          <w:tcPr>
            <w:tcW w:type="dxa" w:w="4323"/>
          </w:tcPr>
          <w:p>
            <w:pPr>
              <w:spacing w:line="360" w:lineRule="auto" w:before="0" w:after="0"/>
              <w:jc w:val="both"/>
            </w:pPr>
            <w:r>
              <w:rPr>
                <w:rFonts w:ascii="宋体" w:hAnsi="宋体" w:eastAsia="宋体"/>
                <w:b w:val="0"/>
                <w:sz w:val="21"/>
              </w:rPr>
              <w:t>年化波动率</w:t>
            </w:r>
          </w:p>
        </w:tc>
        <w:tc>
          <w:tcPr>
            <w:tcW w:type="dxa" w:w="4323"/>
          </w:tcPr>
          <w:p>
            <w:pPr>
              <w:spacing w:line="360" w:lineRule="auto" w:before="0" w:after="0"/>
              <w:jc w:val="both"/>
            </w:pPr>
            <w:r>
              <w:rPr>
                <w:rFonts w:ascii="宋体" w:hAnsi="宋体" w:eastAsia="宋体"/>
                <w:b w:val="0"/>
                <w:sz w:val="21"/>
              </w:rPr>
              <w:t>5.29%</w:t>
            </w:r>
          </w:p>
        </w:tc>
      </w:tr>
      <w:tr>
        <w:tc>
          <w:tcPr>
            <w:tcW w:type="dxa" w:w="4323"/>
          </w:tcPr>
          <w:p>
            <w:pPr>
              <w:spacing w:line="360" w:lineRule="auto" w:before="0" w:after="0"/>
              <w:jc w:val="both"/>
            </w:pPr>
            <w:r>
              <w:rPr>
                <w:rFonts w:ascii="宋体" w:hAnsi="宋体" w:eastAsia="宋体"/>
                <w:b w:val="0"/>
                <w:sz w:val="21"/>
              </w:rPr>
              <w:t>Calmar比率</w:t>
            </w:r>
          </w:p>
        </w:tc>
        <w:tc>
          <w:tcPr>
            <w:tcW w:type="dxa" w:w="4323"/>
          </w:tcPr>
          <w:p>
            <w:pPr>
              <w:spacing w:line="360" w:lineRule="auto" w:before="0" w:after="0"/>
              <w:jc w:val="both"/>
            </w:pPr>
            <w:r>
              <w:rPr>
                <w:rFonts w:ascii="宋体" w:hAnsi="宋体" w:eastAsia="宋体"/>
                <w:b w:val="0"/>
                <w:sz w:val="21"/>
              </w:rPr>
              <w:t>-0.938</w:t>
            </w:r>
          </w:p>
        </w:tc>
      </w:tr>
      <w:tr>
        <w:tc>
          <w:tcPr>
            <w:tcW w:type="dxa" w:w="4323"/>
          </w:tcPr>
          <w:p>
            <w:pPr>
              <w:spacing w:line="360" w:lineRule="auto" w:before="0" w:after="0"/>
              <w:jc w:val="both"/>
            </w:pPr>
            <w:r>
              <w:rPr>
                <w:rFonts w:ascii="宋体" w:hAnsi="宋体" w:eastAsia="宋体"/>
                <w:b w:val="0"/>
                <w:sz w:val="21"/>
              </w:rPr>
              <w:t>胜率</w:t>
            </w:r>
          </w:p>
        </w:tc>
        <w:tc>
          <w:tcPr>
            <w:tcW w:type="dxa" w:w="4323"/>
          </w:tcPr>
          <w:p>
            <w:pPr>
              <w:spacing w:line="360" w:lineRule="auto" w:before="0" w:after="0"/>
              <w:jc w:val="both"/>
            </w:pPr>
            <w:r>
              <w:rPr>
                <w:rFonts w:ascii="宋体" w:hAnsi="宋体" w:eastAsia="宋体"/>
                <w:b w:val="0"/>
                <w:sz w:val="21"/>
              </w:rPr>
              <w:t>0.00%</w:t>
            </w:r>
          </w:p>
        </w:tc>
      </w:tr>
      <w:tr>
        <w:tc>
          <w:tcPr>
            <w:tcW w:type="dxa" w:w="4323"/>
          </w:tcPr>
          <w:p>
            <w:pPr>
              <w:spacing w:line="360" w:lineRule="auto" w:before="0" w:after="0"/>
              <w:jc w:val="both"/>
            </w:pPr>
            <w:r>
              <w:rPr>
                <w:rFonts w:ascii="宋体" w:hAnsi="宋体" w:eastAsia="宋体"/>
                <w:b w:val="0"/>
                <w:sz w:val="21"/>
              </w:rPr>
              <w:t>盈亏比</w:t>
            </w:r>
          </w:p>
        </w:tc>
        <w:tc>
          <w:tcPr>
            <w:tcW w:type="dxa" w:w="4323"/>
          </w:tcPr>
          <w:p>
            <w:pPr>
              <w:spacing w:line="360" w:lineRule="auto" w:before="0" w:after="0"/>
              <w:jc w:val="both"/>
            </w:pPr>
            <w:r>
              <w:rPr>
                <w:rFonts w:ascii="宋体" w:hAnsi="宋体" w:eastAsia="宋体"/>
                <w:b w:val="0"/>
                <w:sz w:val="21"/>
              </w:rPr>
              <w:t>0.000</w:t>
            </w:r>
          </w:p>
        </w:tc>
      </w:tr>
      <w:tr>
        <w:tc>
          <w:tcPr>
            <w:tcW w:type="dxa" w:w="4323"/>
          </w:tcPr>
          <w:p>
            <w:pPr>
              <w:spacing w:line="360" w:lineRule="auto" w:before="0" w:after="0"/>
              <w:jc w:val="both"/>
            </w:pPr>
            <w:r>
              <w:rPr>
                <w:rFonts w:ascii="宋体" w:hAnsi="宋体" w:eastAsia="宋体"/>
                <w:b w:val="0"/>
                <w:sz w:val="21"/>
              </w:rPr>
              <w:t>交易次数</w:t>
            </w:r>
          </w:p>
        </w:tc>
        <w:tc>
          <w:tcPr>
            <w:tcW w:type="dxa" w:w="4323"/>
          </w:tcPr>
          <w:p>
            <w:pPr>
              <w:spacing w:line="360" w:lineRule="auto" w:before="0" w:after="0"/>
              <w:jc w:val="both"/>
            </w:pPr>
            <w:r>
              <w:rPr>
                <w:rFonts w:ascii="宋体" w:hAnsi="宋体" w:eastAsia="宋体"/>
                <w:b w:val="0"/>
                <w:sz w:val="21"/>
              </w:rPr>
              <w:t>3 次</w:t>
            </w:r>
          </w:p>
        </w:tc>
      </w:tr>
      <w:tr>
        <w:tc>
          <w:tcPr>
            <w:tcW w:type="dxa" w:w="4323"/>
          </w:tcPr>
          <w:p>
            <w:pPr>
              <w:spacing w:line="360" w:lineRule="auto" w:before="0" w:after="0"/>
              <w:jc w:val="both"/>
            </w:pPr>
            <w:r>
              <w:rPr>
                <w:rFonts w:ascii="宋体" w:hAnsi="宋体" w:eastAsia="宋体"/>
                <w:b w:val="0"/>
                <w:sz w:val="21"/>
              </w:rPr>
              <w:t>平均持仓天数</w:t>
            </w:r>
          </w:p>
        </w:tc>
        <w:tc>
          <w:tcPr>
            <w:tcW w:type="dxa" w:w="4323"/>
          </w:tcPr>
          <w:p>
            <w:pPr>
              <w:spacing w:line="360" w:lineRule="auto" w:before="0" w:after="0"/>
              <w:jc w:val="both"/>
            </w:pPr>
            <w:r>
              <w:rPr>
                <w:rFonts w:ascii="宋体" w:hAnsi="宋体" w:eastAsia="宋体"/>
                <w:b w:val="0"/>
                <w:sz w:val="21"/>
              </w:rPr>
              <w:t>27.7 天</w:t>
            </w:r>
          </w:p>
        </w:tc>
      </w:tr>
      <w:tr>
        <w:tc>
          <w:tcPr>
            <w:tcW w:type="dxa" w:w="4323"/>
          </w:tcPr>
          <w:p>
            <w:pPr>
              <w:spacing w:line="360" w:lineRule="auto" w:before="0" w:after="0"/>
              <w:jc w:val="both"/>
            </w:pPr>
            <w:r>
              <w:rPr>
                <w:rFonts w:ascii="宋体" w:hAnsi="宋体" w:eastAsia="宋体"/>
                <w:b w:val="0"/>
                <w:sz w:val="21"/>
              </w:rPr>
              <w:t>平均加仓单位数</w:t>
            </w:r>
          </w:p>
        </w:tc>
        <w:tc>
          <w:tcPr>
            <w:tcW w:type="dxa" w:w="4323"/>
          </w:tcPr>
          <w:p>
            <w:pPr>
              <w:spacing w:line="360" w:lineRule="auto" w:before="0" w:after="0"/>
              <w:jc w:val="both"/>
            </w:pPr>
            <w:r>
              <w:rPr>
                <w:rFonts w:ascii="宋体" w:hAnsi="宋体" w:eastAsia="宋体"/>
                <w:b w:val="0"/>
                <w:sz w:val="21"/>
              </w:rPr>
              <w:t>1.00 单位</w:t>
            </w:r>
          </w:p>
        </w:tc>
      </w:tr>
      <w:tr>
        <w:tc>
          <w:tcPr>
            <w:tcW w:type="dxa" w:w="4323"/>
          </w:tcPr>
          <w:p>
            <w:pPr>
              <w:spacing w:line="360" w:lineRule="auto" w:before="0" w:after="0"/>
              <w:jc w:val="both"/>
            </w:pPr>
            <w:r>
              <w:rPr>
                <w:rFonts w:ascii="宋体" w:hAnsi="宋体" w:eastAsia="宋体"/>
                <w:b w:val="0"/>
                <w:sz w:val="21"/>
              </w:rPr>
              <w:t>总交易成本</w:t>
            </w:r>
          </w:p>
        </w:tc>
        <w:tc>
          <w:tcPr>
            <w:tcW w:type="dxa" w:w="4323"/>
          </w:tcPr>
          <w:p>
            <w:pPr>
              <w:spacing w:line="360" w:lineRule="auto" w:before="0" w:after="0"/>
              <w:jc w:val="both"/>
            </w:pPr>
            <w:r>
              <w:rPr>
                <w:rFonts w:ascii="宋体" w:hAnsi="宋体" w:eastAsia="宋体"/>
                <w:b w:val="0"/>
                <w:sz w:val="21"/>
              </w:rPr>
              <w:t>431.74 元</w:t>
            </w:r>
          </w:p>
        </w:tc>
      </w:tr>
    </w:tbl>
    <w:p>
      <w:pPr>
        <w:spacing w:line="360" w:lineRule="auto" w:before="0" w:after="0"/>
        <w:ind w:firstLine="420"/>
        <w:jc w:val="both"/>
      </w:pPr>
      <w:r>
        <w:rPr>
          <w:rFonts w:ascii="宋体" w:hAnsi="宋体" w:eastAsia="宋体"/>
          <w:b w:val="0"/>
          <w:sz w:val="21"/>
        </w:rPr>
        <w:t>从绩效指标可以看出，海龟策略在长江电力的回测中表现如何。总收益率、最大回撤、夏普比率等核心指标反映了策略的风险收益特征。</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3.3 回测可视化分析</w:t>
      </w:r>
    </w:p>
    <w:p>
      <w:pPr>
        <w:spacing w:line="360" w:lineRule="auto" w:before="0" w:after="0"/>
        <w:ind w:firstLine="420"/>
        <w:jc w:val="both"/>
      </w:pPr>
      <w:r>
        <w:rPr>
          <w:rFonts w:ascii="宋体" w:hAnsi="宋体" w:eastAsia="宋体"/>
          <w:b w:val="0"/>
          <w:sz w:val="21"/>
        </w:rPr>
        <w:t>图2展示了策略净值曲线与买入持有策略的对比。红色曲线为海龟策略净值，蓝色曲线为买入持有净值。通过对比可以观察策略是否跑赢了简单的买入持有策略。</w:t>
      </w:r>
    </w:p>
    <w:p>
      <w:pPr>
        <w:spacing w:before="120" w:after="0"/>
        <w:jc w:val="center"/>
      </w:pPr>
      <w:r>
        <w:drawing>
          <wp:inline xmlns:a="http://schemas.openxmlformats.org/drawingml/2006/main" xmlns:pic="http://schemas.openxmlformats.org/drawingml/2006/picture">
            <wp:extent cx="5040000" cy="2138915"/>
            <wp:docPr id="2" name="Picture 2"/>
            <wp:cNvGraphicFramePr>
              <a:graphicFrameLocks noChangeAspect="1"/>
            </wp:cNvGraphicFramePr>
            <a:graphic>
              <a:graphicData uri="http://schemas.openxmlformats.org/drawingml/2006/picture">
                <pic:pic>
                  <pic:nvPicPr>
                    <pic:cNvPr id="0" name="backtest.png"/>
                    <pic:cNvPicPr/>
                  </pic:nvPicPr>
                  <pic:blipFill>
                    <a:blip r:embed="rId10"/>
                    <a:stretch>
                      <a:fillRect/>
                    </a:stretch>
                  </pic:blipFill>
                  <pic:spPr>
                    <a:xfrm>
                      <a:off x="0" y="0"/>
                      <a:ext cx="5040000" cy="2138915"/>
                    </a:xfrm>
                    <a:prstGeom prst="rect"/>
                  </pic:spPr>
                </pic:pic>
              </a:graphicData>
            </a:graphic>
          </wp:inline>
        </w:drawing>
      </w:r>
    </w:p>
    <w:p>
      <w:pPr>
        <w:spacing w:line="360" w:lineRule="auto" w:before="0" w:after="120"/>
        <w:jc w:val="center"/>
      </w:pPr>
      <w:r>
        <w:rPr>
          <w:rFonts w:ascii="宋体" w:hAnsi="宋体" w:eastAsia="宋体"/>
          <w:b/>
          <w:sz w:val="20"/>
        </w:rPr>
        <w:t>图2 海龟策略回测净值曲线（策略 vs 买入持有）</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图3展示了策略的最大回撤（MDD）分析。最大回撤是衡量策略风险承受能力的关键指标，反映了策略在历史上从峰值到谷底的最大亏损幅度。较低的回撤意味着策略具有更好的风险控制能力。</w:t>
      </w:r>
    </w:p>
    <w:p>
      <w:pPr>
        <w:spacing w:before="120" w:after="0"/>
        <w:jc w:val="center"/>
      </w:pPr>
      <w:r>
        <w:drawing>
          <wp:inline xmlns:a="http://schemas.openxmlformats.org/drawingml/2006/main" xmlns:pic="http://schemas.openxmlformats.org/drawingml/2006/picture">
            <wp:extent cx="5040000" cy="1798425"/>
            <wp:docPr id="3" name="Picture 3"/>
            <wp:cNvGraphicFramePr>
              <a:graphicFrameLocks noChangeAspect="1"/>
            </wp:cNvGraphicFramePr>
            <a:graphic>
              <a:graphicData uri="http://schemas.openxmlformats.org/drawingml/2006/picture">
                <pic:pic>
                  <pic:nvPicPr>
                    <pic:cNvPr id="0" name="drawdown.png"/>
                    <pic:cNvPicPr/>
                  </pic:nvPicPr>
                  <pic:blipFill>
                    <a:blip r:embed="rId11"/>
                    <a:stretch>
                      <a:fillRect/>
                    </a:stretch>
                  </pic:blipFill>
                  <pic:spPr>
                    <a:xfrm>
                      <a:off x="0" y="0"/>
                      <a:ext cx="5040000" cy="1798425"/>
                    </a:xfrm>
                    <a:prstGeom prst="rect"/>
                  </pic:spPr>
                </pic:pic>
              </a:graphicData>
            </a:graphic>
          </wp:inline>
        </w:drawing>
      </w:r>
    </w:p>
    <w:p>
      <w:pPr>
        <w:spacing w:line="360" w:lineRule="auto" w:before="0" w:after="120"/>
        <w:jc w:val="center"/>
      </w:pPr>
      <w:r>
        <w:rPr>
          <w:rFonts w:ascii="宋体" w:hAnsi="宋体" w:eastAsia="宋体"/>
          <w:b/>
          <w:sz w:val="20"/>
        </w:rPr>
        <w:t>图3 海龟策略最大回撤（MDD）分析</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图4为策略绩效雷达图，将总收益、年化收益、夏普比率、胜率、盈亏比、Calmar比率六个核心指标进行归一化展示，便于直观了解策略的综合表现。</w:t>
      </w:r>
    </w:p>
    <w:p>
      <w:pPr>
        <w:spacing w:before="120" w:after="0"/>
        <w:jc w:val="center"/>
      </w:pPr>
      <w:r>
        <w:drawing>
          <wp:inline xmlns:a="http://schemas.openxmlformats.org/drawingml/2006/main" xmlns:pic="http://schemas.openxmlformats.org/drawingml/2006/picture">
            <wp:extent cx="5040000" cy="4832471"/>
            <wp:docPr id="4" name="Picture 4"/>
            <wp:cNvGraphicFramePr>
              <a:graphicFrameLocks noChangeAspect="1"/>
            </wp:cNvGraphicFramePr>
            <a:graphic>
              <a:graphicData uri="http://schemas.openxmlformats.org/drawingml/2006/picture">
                <pic:pic>
                  <pic:nvPicPr>
                    <pic:cNvPr id="0" name="metrics_radar.png"/>
                    <pic:cNvPicPr/>
                  </pic:nvPicPr>
                  <pic:blipFill>
                    <a:blip r:embed="rId12"/>
                    <a:stretch>
                      <a:fillRect/>
                    </a:stretch>
                  </pic:blipFill>
                  <pic:spPr>
                    <a:xfrm>
                      <a:off x="0" y="0"/>
                      <a:ext cx="5040000" cy="4832471"/>
                    </a:xfrm>
                    <a:prstGeom prst="rect"/>
                  </pic:spPr>
                </pic:pic>
              </a:graphicData>
            </a:graphic>
          </wp:inline>
        </w:drawing>
      </w:r>
    </w:p>
    <w:p>
      <w:pPr>
        <w:spacing w:line="360" w:lineRule="auto" w:before="0" w:after="120"/>
        <w:jc w:val="center"/>
      </w:pPr>
      <w:r>
        <w:rPr>
          <w:rFonts w:ascii="宋体" w:hAnsi="宋体" w:eastAsia="宋体"/>
          <w:b/>
          <w:sz w:val="20"/>
        </w:rPr>
        <w:t>图4 海龟策略绩效指标雷达图（归一化）</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图5为出场原因分布饼图，展示了交易以何种方式结束：止损出场、反向突破出场或期末清仓。分析出场原因有助于理解策略的行为特征和潜在的改进方向。</w:t>
      </w:r>
    </w:p>
    <w:p>
      <w:pPr>
        <w:spacing w:before="120" w:after="0"/>
        <w:jc w:val="center"/>
      </w:pPr>
      <w:r>
        <w:drawing>
          <wp:inline xmlns:a="http://schemas.openxmlformats.org/drawingml/2006/main" xmlns:pic="http://schemas.openxmlformats.org/drawingml/2006/picture">
            <wp:extent cx="5040000" cy="5198049"/>
            <wp:docPr id="5" name="Picture 5"/>
            <wp:cNvGraphicFramePr>
              <a:graphicFrameLocks noChangeAspect="1"/>
            </wp:cNvGraphicFramePr>
            <a:graphic>
              <a:graphicData uri="http://schemas.openxmlformats.org/drawingml/2006/picture">
                <pic:pic>
                  <pic:nvPicPr>
                    <pic:cNvPr id="0" name="exit_reasons.png"/>
                    <pic:cNvPicPr/>
                  </pic:nvPicPr>
                  <pic:blipFill>
                    <a:blip r:embed="rId13"/>
                    <a:stretch>
                      <a:fillRect/>
                    </a:stretch>
                  </pic:blipFill>
                  <pic:spPr>
                    <a:xfrm>
                      <a:off x="0" y="0"/>
                      <a:ext cx="5040000" cy="5198049"/>
                    </a:xfrm>
                    <a:prstGeom prst="rect"/>
                  </pic:spPr>
                </pic:pic>
              </a:graphicData>
            </a:graphic>
          </wp:inline>
        </w:drawing>
      </w:r>
    </w:p>
    <w:p>
      <w:pPr>
        <w:spacing w:line="360" w:lineRule="auto" w:before="0" w:after="120"/>
        <w:jc w:val="center"/>
      </w:pPr>
      <w:r>
        <w:rPr>
          <w:rFonts w:ascii="宋体" w:hAnsi="宋体" w:eastAsia="宋体"/>
          <w:b/>
          <w:sz w:val="20"/>
        </w:rPr>
        <w:t>图5 海龟策略出场原因分布</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四、参数调节与对比分析</w:t>
      </w:r>
    </w:p>
    <w:p>
      <w:pPr>
        <w:spacing w:line="360" w:lineRule="auto" w:before="0" w:after="0"/>
        <w:ind w:firstLine="0"/>
        <w:jc w:val="left"/>
      </w:pPr>
      <w:r>
        <w:rPr>
          <w:rFonts w:ascii="宋体" w:hAnsi="宋体" w:eastAsia="宋体"/>
          <w:b/>
          <w:sz w:val="21"/>
        </w:rPr>
        <w:t>4.1 不同通道周期对比</w:t>
      </w:r>
    </w:p>
    <w:p>
      <w:pPr>
        <w:spacing w:line="360" w:lineRule="auto" w:before="0" w:after="0"/>
        <w:ind w:firstLine="420"/>
        <w:jc w:val="both"/>
      </w:pPr>
      <w:r>
        <w:rPr>
          <w:rFonts w:ascii="宋体" w:hAnsi="宋体" w:eastAsia="宋体"/>
          <w:b w:val="0"/>
          <w:sz w:val="21"/>
        </w:rPr>
        <w:t>为了探究通道周期对策略性能的影响，本任务测试了八组不同的入场/出场周期组合：（1）极短周期：入场5日/出场3日；（2）短周期对称：入场5日/出场5日；（3）短周期：入场10日/出场5日；（4）短周期对称：入场10日/出场10日；（5）中短周期：入场15日/出场7日；（6）系统一：入场20日/出场10日；（7）中长周期：入场30日/出场15日；（8）系统二：入场55日/出场20日。各组参数在相同股票（长江电力）和相同时间段上进行回测，结果如图6和表1所示。</w:t>
      </w:r>
    </w:p>
    <w:p>
      <w:pPr>
        <w:spacing w:before="120" w:after="0"/>
        <w:jc w:val="center"/>
      </w:pPr>
      <w:r>
        <w:drawing>
          <wp:inline xmlns:a="http://schemas.openxmlformats.org/drawingml/2006/main" xmlns:pic="http://schemas.openxmlformats.org/drawingml/2006/picture">
            <wp:extent cx="5040000" cy="3434729"/>
            <wp:docPr id="6" name="Picture 6"/>
            <wp:cNvGraphicFramePr>
              <a:graphicFrameLocks noChangeAspect="1"/>
            </wp:cNvGraphicFramePr>
            <a:graphic>
              <a:graphicData uri="http://schemas.openxmlformats.org/drawingml/2006/picture">
                <pic:pic>
                  <pic:nvPicPr>
                    <pic:cNvPr id="0" name="comparison_periods.png"/>
                    <pic:cNvPicPr/>
                  </pic:nvPicPr>
                  <pic:blipFill>
                    <a:blip r:embed="rId14"/>
                    <a:stretch>
                      <a:fillRect/>
                    </a:stretch>
                  </pic:blipFill>
                  <pic:spPr>
                    <a:xfrm>
                      <a:off x="0" y="0"/>
                      <a:ext cx="5040000" cy="3434729"/>
                    </a:xfrm>
                    <a:prstGeom prst="rect"/>
                  </pic:spPr>
                </pic:pic>
              </a:graphicData>
            </a:graphic>
          </wp:inline>
        </w:drawing>
      </w:r>
    </w:p>
    <w:p>
      <w:pPr>
        <w:spacing w:line="360" w:lineRule="auto" w:before="0" w:after="120"/>
        <w:jc w:val="center"/>
      </w:pPr>
      <w:r>
        <w:rPr>
          <w:rFonts w:ascii="宋体" w:hAnsi="宋体" w:eastAsia="宋体"/>
          <w:b/>
          <w:sz w:val="20"/>
        </w:rPr>
        <w:t>图6 海龟策略不同通道周期综合对比</w:t>
      </w:r>
    </w:p>
    <w:p>
      <w:pPr>
        <w:spacing w:line="360" w:lineRule="auto" w:before="0" w:after="0"/>
        <w:jc w:val="both"/>
      </w:pPr>
      <w:r>
        <w:rPr>
          <w:rFonts w:ascii="宋体" w:hAnsi="宋体" w:eastAsia="宋体"/>
          <w:b w:val="0"/>
          <w:sz w:val="21"/>
        </w:rPr>
        <w:t>表1 不同通道周期回测绩效对比</w:t>
      </w:r>
    </w:p>
    <w:tbl>
      <w:tblPr>
        <w:tblStyle w:val="TableGrid"/>
        <w:tblW w:type="auto" w:w="0"/>
        <w:tblLook w:firstColumn="1" w:firstRow="1" w:lastColumn="0" w:lastRow="0" w:noHBand="0" w:noVBand="1" w:val="04A0"/>
      </w:tblPr>
      <w:tblGrid>
        <w:gridCol w:w="1081"/>
        <w:gridCol w:w="1081"/>
        <w:gridCol w:w="1081"/>
        <w:gridCol w:w="1081"/>
        <w:gridCol w:w="1081"/>
        <w:gridCol w:w="1081"/>
        <w:gridCol w:w="1081"/>
        <w:gridCol w:w="1081"/>
      </w:tblGrid>
      <w:tr>
        <w:tc>
          <w:tcPr>
            <w:tcW w:type="dxa" w:w="1081"/>
          </w:tcPr>
          <w:p>
            <w:pPr>
              <w:spacing w:line="360" w:lineRule="auto" w:before="0" w:after="0"/>
              <w:jc w:val="both"/>
            </w:pPr>
            <w:r>
              <w:rPr>
                <w:rFonts w:ascii="宋体" w:hAnsi="宋体" w:eastAsia="宋体"/>
                <w:b/>
                <w:sz w:val="21"/>
              </w:rPr>
              <w:t>周期组合</w:t>
            </w:r>
          </w:p>
        </w:tc>
        <w:tc>
          <w:tcPr>
            <w:tcW w:type="dxa" w:w="1081"/>
          </w:tcPr>
          <w:p>
            <w:pPr>
              <w:spacing w:line="360" w:lineRule="auto" w:before="0" w:after="0"/>
              <w:jc w:val="both"/>
            </w:pPr>
            <w:r>
              <w:rPr>
                <w:rFonts w:ascii="宋体" w:hAnsi="宋体" w:eastAsia="宋体"/>
                <w:b/>
                <w:sz w:val="21"/>
              </w:rPr>
              <w:t>总收益</w:t>
            </w:r>
          </w:p>
        </w:tc>
        <w:tc>
          <w:tcPr>
            <w:tcW w:type="dxa" w:w="1081"/>
          </w:tcPr>
          <w:p>
            <w:pPr>
              <w:spacing w:line="360" w:lineRule="auto" w:before="0" w:after="0"/>
              <w:jc w:val="both"/>
            </w:pPr>
            <w:r>
              <w:rPr>
                <w:rFonts w:ascii="宋体" w:hAnsi="宋体" w:eastAsia="宋体"/>
                <w:b/>
                <w:sz w:val="21"/>
              </w:rPr>
              <w:t>年化收益</w:t>
            </w:r>
          </w:p>
        </w:tc>
        <w:tc>
          <w:tcPr>
            <w:tcW w:type="dxa" w:w="1081"/>
          </w:tcPr>
          <w:p>
            <w:pPr>
              <w:spacing w:line="360" w:lineRule="auto" w:before="0" w:after="0"/>
              <w:jc w:val="both"/>
            </w:pPr>
            <w:r>
              <w:rPr>
                <w:rFonts w:ascii="宋体" w:hAnsi="宋体" w:eastAsia="宋体"/>
                <w:b/>
                <w:sz w:val="21"/>
              </w:rPr>
              <w:t>超额</w:t>
            </w:r>
          </w:p>
        </w:tc>
        <w:tc>
          <w:tcPr>
            <w:tcW w:type="dxa" w:w="1081"/>
          </w:tcPr>
          <w:p>
            <w:pPr>
              <w:spacing w:line="360" w:lineRule="auto" w:before="0" w:after="0"/>
              <w:jc w:val="both"/>
            </w:pPr>
            <w:r>
              <w:rPr>
                <w:rFonts w:ascii="宋体" w:hAnsi="宋体" w:eastAsia="宋体"/>
                <w:b/>
                <w:sz w:val="21"/>
              </w:rPr>
              <w:t>最大回撤</w:t>
            </w:r>
          </w:p>
        </w:tc>
        <w:tc>
          <w:tcPr>
            <w:tcW w:type="dxa" w:w="1081"/>
          </w:tcPr>
          <w:p>
            <w:pPr>
              <w:spacing w:line="360" w:lineRule="auto" w:before="0" w:after="0"/>
              <w:jc w:val="both"/>
            </w:pPr>
            <w:r>
              <w:rPr>
                <w:rFonts w:ascii="宋体" w:hAnsi="宋体" w:eastAsia="宋体"/>
                <w:b/>
                <w:sz w:val="21"/>
              </w:rPr>
              <w:t>夏普</w:t>
            </w:r>
          </w:p>
        </w:tc>
        <w:tc>
          <w:tcPr>
            <w:tcW w:type="dxa" w:w="1081"/>
          </w:tcPr>
          <w:p>
            <w:pPr>
              <w:spacing w:line="360" w:lineRule="auto" w:before="0" w:after="0"/>
              <w:jc w:val="both"/>
            </w:pPr>
            <w:r>
              <w:rPr>
                <w:rFonts w:ascii="宋体" w:hAnsi="宋体" w:eastAsia="宋体"/>
                <w:b/>
                <w:sz w:val="21"/>
              </w:rPr>
              <w:t>胜率</w:t>
            </w:r>
          </w:p>
        </w:tc>
        <w:tc>
          <w:tcPr>
            <w:tcW w:type="dxa" w:w="1081"/>
          </w:tcPr>
          <w:p>
            <w:pPr>
              <w:spacing w:line="360" w:lineRule="auto" w:before="0" w:after="0"/>
              <w:jc w:val="both"/>
            </w:pPr>
            <w:r>
              <w:rPr>
                <w:rFonts w:ascii="宋体" w:hAnsi="宋体" w:eastAsia="宋体"/>
                <w:b/>
                <w:sz w:val="21"/>
              </w:rPr>
              <w:t>交易次数</w:t>
            </w:r>
          </w:p>
        </w:tc>
      </w:tr>
      <w:tr>
        <w:tc>
          <w:tcPr>
            <w:tcW w:type="dxa" w:w="1081"/>
          </w:tcPr>
          <w:p>
            <w:pPr>
              <w:spacing w:line="360" w:lineRule="auto" w:before="0" w:after="0"/>
              <w:jc w:val="both"/>
            </w:pPr>
            <w:r>
              <w:rPr>
                <w:rFonts w:ascii="宋体" w:hAnsi="宋体" w:eastAsia="宋体"/>
                <w:b w:val="0"/>
                <w:sz w:val="21"/>
              </w:rPr>
              <w:t>入场5/出场3</w:t>
            </w:r>
          </w:p>
        </w:tc>
        <w:tc>
          <w:tcPr>
            <w:tcW w:type="dxa" w:w="1081"/>
          </w:tcPr>
          <w:p>
            <w:pPr>
              <w:spacing w:line="360" w:lineRule="auto" w:before="0" w:after="0"/>
              <w:jc w:val="both"/>
            </w:pPr>
            <w:r>
              <w:rPr>
                <w:rFonts w:ascii="宋体" w:hAnsi="宋体" w:eastAsia="宋体"/>
                <w:b w:val="0"/>
                <w:sz w:val="21"/>
              </w:rPr>
              <w:t>-7.30%</w:t>
            </w:r>
          </w:p>
        </w:tc>
        <w:tc>
          <w:tcPr>
            <w:tcW w:type="dxa" w:w="1081"/>
          </w:tcPr>
          <w:p>
            <w:pPr>
              <w:spacing w:line="360" w:lineRule="auto" w:before="0" w:after="0"/>
              <w:jc w:val="both"/>
            </w:pPr>
            <w:r>
              <w:rPr>
                <w:rFonts w:ascii="宋体" w:hAnsi="宋体" w:eastAsia="宋体"/>
                <w:b w:val="0"/>
                <w:sz w:val="21"/>
              </w:rPr>
              <w:t>-8.17%</w:t>
            </w:r>
          </w:p>
        </w:tc>
        <w:tc>
          <w:tcPr>
            <w:tcW w:type="dxa" w:w="1081"/>
          </w:tcPr>
          <w:p>
            <w:pPr>
              <w:spacing w:line="360" w:lineRule="auto" w:before="0" w:after="0"/>
              <w:jc w:val="both"/>
            </w:pPr>
            <w:r>
              <w:rPr>
                <w:rFonts w:ascii="宋体" w:hAnsi="宋体" w:eastAsia="宋体"/>
                <w:b w:val="0"/>
                <w:sz w:val="21"/>
              </w:rPr>
              <w:t>-1.43%</w:t>
            </w:r>
          </w:p>
        </w:tc>
        <w:tc>
          <w:tcPr>
            <w:tcW w:type="dxa" w:w="1081"/>
          </w:tcPr>
          <w:p>
            <w:pPr>
              <w:spacing w:line="360" w:lineRule="auto" w:before="0" w:after="0"/>
              <w:jc w:val="both"/>
            </w:pPr>
            <w:r>
              <w:rPr>
                <w:rFonts w:ascii="宋体" w:hAnsi="宋体" w:eastAsia="宋体"/>
                <w:b w:val="0"/>
                <w:sz w:val="21"/>
              </w:rPr>
              <w:t>-7.30%</w:t>
            </w:r>
          </w:p>
        </w:tc>
        <w:tc>
          <w:tcPr>
            <w:tcW w:type="dxa" w:w="1081"/>
          </w:tcPr>
          <w:p>
            <w:pPr>
              <w:spacing w:line="360" w:lineRule="auto" w:before="0" w:after="0"/>
              <w:jc w:val="both"/>
            </w:pPr>
            <w:r>
              <w:rPr>
                <w:rFonts w:ascii="宋体" w:hAnsi="宋体" w:eastAsia="宋体"/>
                <w:b w:val="0"/>
                <w:sz w:val="21"/>
              </w:rPr>
              <w:t>-1.713</w:t>
            </w:r>
          </w:p>
        </w:tc>
        <w:tc>
          <w:tcPr>
            <w:tcW w:type="dxa" w:w="1081"/>
          </w:tcPr>
          <w:p>
            <w:pPr>
              <w:spacing w:line="360" w:lineRule="auto" w:before="0" w:after="0"/>
              <w:jc w:val="both"/>
            </w:pPr>
            <w:r>
              <w:rPr>
                <w:rFonts w:ascii="宋体" w:hAnsi="宋体" w:eastAsia="宋体"/>
                <w:b w:val="0"/>
                <w:sz w:val="21"/>
              </w:rPr>
              <w:t>25.0%</w:t>
            </w:r>
          </w:p>
        </w:tc>
        <w:tc>
          <w:tcPr>
            <w:tcW w:type="dxa" w:w="1081"/>
          </w:tcPr>
          <w:p>
            <w:pPr>
              <w:spacing w:line="360" w:lineRule="auto" w:before="0" w:after="0"/>
              <w:jc w:val="both"/>
            </w:pPr>
            <w:r>
              <w:rPr>
                <w:rFonts w:ascii="宋体" w:hAnsi="宋体" w:eastAsia="宋体"/>
                <w:b w:val="0"/>
                <w:sz w:val="21"/>
              </w:rPr>
              <w:t>8</w:t>
            </w:r>
          </w:p>
        </w:tc>
      </w:tr>
      <w:tr>
        <w:tc>
          <w:tcPr>
            <w:tcW w:type="dxa" w:w="1081"/>
          </w:tcPr>
          <w:p>
            <w:pPr>
              <w:spacing w:line="360" w:lineRule="auto" w:before="0" w:after="0"/>
              <w:jc w:val="both"/>
            </w:pPr>
            <w:r>
              <w:rPr>
                <w:rFonts w:ascii="宋体" w:hAnsi="宋体" w:eastAsia="宋体"/>
                <w:b w:val="0"/>
                <w:sz w:val="21"/>
              </w:rPr>
              <w:t>入场5/出场5</w:t>
            </w:r>
          </w:p>
        </w:tc>
        <w:tc>
          <w:tcPr>
            <w:tcW w:type="dxa" w:w="1081"/>
          </w:tcPr>
          <w:p>
            <w:pPr>
              <w:spacing w:line="360" w:lineRule="auto" w:before="0" w:after="0"/>
              <w:jc w:val="both"/>
            </w:pPr>
            <w:r>
              <w:rPr>
                <w:rFonts w:ascii="宋体" w:hAnsi="宋体" w:eastAsia="宋体"/>
                <w:b w:val="0"/>
                <w:sz w:val="21"/>
              </w:rPr>
              <w:t>-5.61%</w:t>
            </w:r>
          </w:p>
        </w:tc>
        <w:tc>
          <w:tcPr>
            <w:tcW w:type="dxa" w:w="1081"/>
          </w:tcPr>
          <w:p>
            <w:pPr>
              <w:spacing w:line="360" w:lineRule="auto" w:before="0" w:after="0"/>
              <w:jc w:val="both"/>
            </w:pPr>
            <w:r>
              <w:rPr>
                <w:rFonts w:ascii="宋体" w:hAnsi="宋体" w:eastAsia="宋体"/>
                <w:b w:val="0"/>
                <w:sz w:val="21"/>
              </w:rPr>
              <w:t>-6.29%</w:t>
            </w:r>
          </w:p>
        </w:tc>
        <w:tc>
          <w:tcPr>
            <w:tcW w:type="dxa" w:w="1081"/>
          </w:tcPr>
          <w:p>
            <w:pPr>
              <w:spacing w:line="360" w:lineRule="auto" w:before="0" w:after="0"/>
              <w:jc w:val="both"/>
            </w:pPr>
            <w:r>
              <w:rPr>
                <w:rFonts w:ascii="宋体" w:hAnsi="宋体" w:eastAsia="宋体"/>
                <w:b w:val="0"/>
                <w:sz w:val="21"/>
              </w:rPr>
              <w:t>0.26%</w:t>
            </w:r>
          </w:p>
        </w:tc>
        <w:tc>
          <w:tcPr>
            <w:tcW w:type="dxa" w:w="1081"/>
          </w:tcPr>
          <w:p>
            <w:pPr>
              <w:spacing w:line="360" w:lineRule="auto" w:before="0" w:after="0"/>
              <w:jc w:val="both"/>
            </w:pPr>
            <w:r>
              <w:rPr>
                <w:rFonts w:ascii="宋体" w:hAnsi="宋体" w:eastAsia="宋体"/>
                <w:b w:val="0"/>
                <w:sz w:val="21"/>
              </w:rPr>
              <w:t>-5.61%</w:t>
            </w:r>
          </w:p>
        </w:tc>
        <w:tc>
          <w:tcPr>
            <w:tcW w:type="dxa" w:w="1081"/>
          </w:tcPr>
          <w:p>
            <w:pPr>
              <w:spacing w:line="360" w:lineRule="auto" w:before="0" w:after="0"/>
              <w:jc w:val="both"/>
            </w:pPr>
            <w:r>
              <w:rPr>
                <w:rFonts w:ascii="宋体" w:hAnsi="宋体" w:eastAsia="宋体"/>
                <w:b w:val="0"/>
                <w:sz w:val="21"/>
              </w:rPr>
              <w:t>-1.237</w:t>
            </w:r>
          </w:p>
        </w:tc>
        <w:tc>
          <w:tcPr>
            <w:tcW w:type="dxa" w:w="1081"/>
          </w:tcPr>
          <w:p>
            <w:pPr>
              <w:spacing w:line="360" w:lineRule="auto" w:before="0" w:after="0"/>
              <w:jc w:val="both"/>
            </w:pPr>
            <w:r>
              <w:rPr>
                <w:rFonts w:ascii="宋体" w:hAnsi="宋体" w:eastAsia="宋体"/>
                <w:b w:val="0"/>
                <w:sz w:val="21"/>
              </w:rPr>
              <w:t>28.6%</w:t>
            </w:r>
          </w:p>
        </w:tc>
        <w:tc>
          <w:tcPr>
            <w:tcW w:type="dxa" w:w="1081"/>
          </w:tcPr>
          <w:p>
            <w:pPr>
              <w:spacing w:line="360" w:lineRule="auto" w:before="0" w:after="0"/>
              <w:jc w:val="both"/>
            </w:pPr>
            <w:r>
              <w:rPr>
                <w:rFonts w:ascii="宋体" w:hAnsi="宋体" w:eastAsia="宋体"/>
                <w:b w:val="0"/>
                <w:sz w:val="21"/>
              </w:rPr>
              <w:t>7</w:t>
            </w:r>
          </w:p>
        </w:tc>
      </w:tr>
      <w:tr>
        <w:tc>
          <w:tcPr>
            <w:tcW w:type="dxa" w:w="1081"/>
          </w:tcPr>
          <w:p>
            <w:pPr>
              <w:spacing w:line="360" w:lineRule="auto" w:before="0" w:after="0"/>
              <w:jc w:val="both"/>
            </w:pPr>
            <w:r>
              <w:rPr>
                <w:rFonts w:ascii="宋体" w:hAnsi="宋体" w:eastAsia="宋体"/>
                <w:b w:val="0"/>
                <w:sz w:val="21"/>
              </w:rPr>
              <w:t>入场10/出场5</w:t>
            </w:r>
          </w:p>
        </w:tc>
        <w:tc>
          <w:tcPr>
            <w:tcW w:type="dxa" w:w="1081"/>
          </w:tcPr>
          <w:p>
            <w:pPr>
              <w:spacing w:line="360" w:lineRule="auto" w:before="0" w:after="0"/>
              <w:jc w:val="both"/>
            </w:pPr>
            <w:r>
              <w:rPr>
                <w:rFonts w:ascii="宋体" w:hAnsi="宋体" w:eastAsia="宋体"/>
                <w:b w:val="0"/>
                <w:sz w:val="21"/>
              </w:rPr>
              <w:t>-6.01%</w:t>
            </w:r>
          </w:p>
        </w:tc>
        <w:tc>
          <w:tcPr>
            <w:tcW w:type="dxa" w:w="1081"/>
          </w:tcPr>
          <w:p>
            <w:pPr>
              <w:spacing w:line="360" w:lineRule="auto" w:before="0" w:after="0"/>
              <w:jc w:val="both"/>
            </w:pPr>
            <w:r>
              <w:rPr>
                <w:rFonts w:ascii="宋体" w:hAnsi="宋体" w:eastAsia="宋体"/>
                <w:b w:val="0"/>
                <w:sz w:val="21"/>
              </w:rPr>
              <w:t>-6.74%</w:t>
            </w:r>
          </w:p>
        </w:tc>
        <w:tc>
          <w:tcPr>
            <w:tcW w:type="dxa" w:w="1081"/>
          </w:tcPr>
          <w:p>
            <w:pPr>
              <w:spacing w:line="360" w:lineRule="auto" w:before="0" w:after="0"/>
              <w:jc w:val="both"/>
            </w:pPr>
            <w:r>
              <w:rPr>
                <w:rFonts w:ascii="宋体" w:hAnsi="宋体" w:eastAsia="宋体"/>
                <w:b w:val="0"/>
                <w:sz w:val="21"/>
              </w:rPr>
              <w:t>-0.14%</w:t>
            </w:r>
          </w:p>
        </w:tc>
        <w:tc>
          <w:tcPr>
            <w:tcW w:type="dxa" w:w="1081"/>
          </w:tcPr>
          <w:p>
            <w:pPr>
              <w:spacing w:line="360" w:lineRule="auto" w:before="0" w:after="0"/>
              <w:jc w:val="both"/>
            </w:pPr>
            <w:r>
              <w:rPr>
                <w:rFonts w:ascii="宋体" w:hAnsi="宋体" w:eastAsia="宋体"/>
                <w:b w:val="0"/>
                <w:sz w:val="21"/>
              </w:rPr>
              <w:t>-6.01%</w:t>
            </w:r>
          </w:p>
        </w:tc>
        <w:tc>
          <w:tcPr>
            <w:tcW w:type="dxa" w:w="1081"/>
          </w:tcPr>
          <w:p>
            <w:pPr>
              <w:spacing w:line="360" w:lineRule="auto" w:before="0" w:after="0"/>
              <w:jc w:val="both"/>
            </w:pPr>
            <w:r>
              <w:rPr>
                <w:rFonts w:ascii="宋体" w:hAnsi="宋体" w:eastAsia="宋体"/>
                <w:b w:val="0"/>
                <w:sz w:val="21"/>
              </w:rPr>
              <w:t>-1.389</w:t>
            </w:r>
          </w:p>
        </w:tc>
        <w:tc>
          <w:tcPr>
            <w:tcW w:type="dxa" w:w="1081"/>
          </w:tcPr>
          <w:p>
            <w:pPr>
              <w:spacing w:line="360" w:lineRule="auto" w:before="0" w:after="0"/>
              <w:jc w:val="both"/>
            </w:pPr>
            <w:r>
              <w:rPr>
                <w:rFonts w:ascii="宋体" w:hAnsi="宋体" w:eastAsia="宋体"/>
                <w:b w:val="0"/>
                <w:sz w:val="21"/>
              </w:rPr>
              <w:t>40.0%</w:t>
            </w:r>
          </w:p>
        </w:tc>
        <w:tc>
          <w:tcPr>
            <w:tcW w:type="dxa" w:w="1081"/>
          </w:tcPr>
          <w:p>
            <w:pPr>
              <w:spacing w:line="360" w:lineRule="auto" w:before="0" w:after="0"/>
              <w:jc w:val="both"/>
            </w:pPr>
            <w:r>
              <w:rPr>
                <w:rFonts w:ascii="宋体" w:hAnsi="宋体" w:eastAsia="宋体"/>
                <w:b w:val="0"/>
                <w:sz w:val="21"/>
              </w:rPr>
              <w:t>5</w:t>
            </w:r>
          </w:p>
        </w:tc>
      </w:tr>
      <w:tr>
        <w:tc>
          <w:tcPr>
            <w:tcW w:type="dxa" w:w="1081"/>
          </w:tcPr>
          <w:p>
            <w:pPr>
              <w:spacing w:line="360" w:lineRule="auto" w:before="0" w:after="0"/>
              <w:jc w:val="both"/>
            </w:pPr>
            <w:r>
              <w:rPr>
                <w:rFonts w:ascii="宋体" w:hAnsi="宋体" w:eastAsia="宋体"/>
                <w:b w:val="0"/>
                <w:sz w:val="21"/>
              </w:rPr>
              <w:t>入场10/出场10</w:t>
            </w:r>
          </w:p>
        </w:tc>
        <w:tc>
          <w:tcPr>
            <w:tcW w:type="dxa" w:w="1081"/>
          </w:tcPr>
          <w:p>
            <w:pPr>
              <w:spacing w:line="360" w:lineRule="auto" w:before="0" w:after="0"/>
              <w:jc w:val="both"/>
            </w:pPr>
            <w:r>
              <w:rPr>
                <w:rFonts w:ascii="宋体" w:hAnsi="宋体" w:eastAsia="宋体"/>
                <w:b w:val="0"/>
                <w:sz w:val="21"/>
              </w:rPr>
              <w:t>-8.13%</w:t>
            </w:r>
          </w:p>
        </w:tc>
        <w:tc>
          <w:tcPr>
            <w:tcW w:type="dxa" w:w="1081"/>
          </w:tcPr>
          <w:p>
            <w:pPr>
              <w:spacing w:line="360" w:lineRule="auto" w:before="0" w:after="0"/>
              <w:jc w:val="both"/>
            </w:pPr>
            <w:r>
              <w:rPr>
                <w:rFonts w:ascii="宋体" w:hAnsi="宋体" w:eastAsia="宋体"/>
                <w:b w:val="0"/>
                <w:sz w:val="21"/>
              </w:rPr>
              <w:t>-9.10%</w:t>
            </w:r>
          </w:p>
        </w:tc>
        <w:tc>
          <w:tcPr>
            <w:tcW w:type="dxa" w:w="1081"/>
          </w:tcPr>
          <w:p>
            <w:pPr>
              <w:spacing w:line="360" w:lineRule="auto" w:before="0" w:after="0"/>
              <w:jc w:val="both"/>
            </w:pPr>
            <w:r>
              <w:rPr>
                <w:rFonts w:ascii="宋体" w:hAnsi="宋体" w:eastAsia="宋体"/>
                <w:b w:val="0"/>
                <w:sz w:val="21"/>
              </w:rPr>
              <w:t>-2.27%</w:t>
            </w:r>
          </w:p>
        </w:tc>
        <w:tc>
          <w:tcPr>
            <w:tcW w:type="dxa" w:w="1081"/>
          </w:tcPr>
          <w:p>
            <w:pPr>
              <w:spacing w:line="360" w:lineRule="auto" w:before="0" w:after="0"/>
              <w:jc w:val="both"/>
            </w:pPr>
            <w:r>
              <w:rPr>
                <w:rFonts w:ascii="宋体" w:hAnsi="宋体" w:eastAsia="宋体"/>
                <w:b w:val="0"/>
                <w:sz w:val="21"/>
              </w:rPr>
              <w:t>-8.13%</w:t>
            </w:r>
          </w:p>
        </w:tc>
        <w:tc>
          <w:tcPr>
            <w:tcW w:type="dxa" w:w="1081"/>
          </w:tcPr>
          <w:p>
            <w:pPr>
              <w:spacing w:line="360" w:lineRule="auto" w:before="0" w:after="0"/>
              <w:jc w:val="both"/>
            </w:pPr>
            <w:r>
              <w:rPr>
                <w:rFonts w:ascii="宋体" w:hAnsi="宋体" w:eastAsia="宋体"/>
                <w:b w:val="0"/>
                <w:sz w:val="21"/>
              </w:rPr>
              <w:t>-1.827</w:t>
            </w:r>
          </w:p>
        </w:tc>
        <w:tc>
          <w:tcPr>
            <w:tcW w:type="dxa" w:w="1081"/>
          </w:tcPr>
          <w:p>
            <w:pPr>
              <w:spacing w:line="360" w:lineRule="auto" w:before="0" w:after="0"/>
              <w:jc w:val="both"/>
            </w:pPr>
            <w:r>
              <w:rPr>
                <w:rFonts w:ascii="宋体" w:hAnsi="宋体" w:eastAsia="宋体"/>
                <w:b w:val="0"/>
                <w:sz w:val="21"/>
              </w:rPr>
              <w:t>0.0%</w:t>
            </w:r>
          </w:p>
        </w:tc>
        <w:tc>
          <w:tcPr>
            <w:tcW w:type="dxa" w:w="1081"/>
          </w:tcPr>
          <w:p>
            <w:pPr>
              <w:spacing w:line="360" w:lineRule="auto" w:before="0" w:after="0"/>
              <w:jc w:val="both"/>
            </w:pPr>
            <w:r>
              <w:rPr>
                <w:rFonts w:ascii="宋体" w:hAnsi="宋体" w:eastAsia="宋体"/>
                <w:b w:val="0"/>
                <w:sz w:val="21"/>
              </w:rPr>
              <w:t>4</w:t>
            </w:r>
          </w:p>
        </w:tc>
      </w:tr>
      <w:tr>
        <w:tc>
          <w:tcPr>
            <w:tcW w:type="dxa" w:w="1081"/>
          </w:tcPr>
          <w:p>
            <w:pPr>
              <w:spacing w:line="360" w:lineRule="auto" w:before="0" w:after="0"/>
              <w:jc w:val="both"/>
            </w:pPr>
            <w:r>
              <w:rPr>
                <w:rFonts w:ascii="宋体" w:hAnsi="宋体" w:eastAsia="宋体"/>
                <w:b w:val="0"/>
                <w:sz w:val="21"/>
              </w:rPr>
              <w:t>入场15/出场7</w:t>
            </w:r>
          </w:p>
        </w:tc>
        <w:tc>
          <w:tcPr>
            <w:tcW w:type="dxa" w:w="1081"/>
          </w:tcPr>
          <w:p>
            <w:pPr>
              <w:spacing w:line="360" w:lineRule="auto" w:before="0" w:after="0"/>
              <w:jc w:val="both"/>
            </w:pPr>
            <w:r>
              <w:rPr>
                <w:rFonts w:ascii="宋体" w:hAnsi="宋体" w:eastAsia="宋体"/>
                <w:b w:val="0"/>
                <w:sz w:val="21"/>
              </w:rPr>
              <w:t>-5.27%</w:t>
            </w:r>
          </w:p>
        </w:tc>
        <w:tc>
          <w:tcPr>
            <w:tcW w:type="dxa" w:w="1081"/>
          </w:tcPr>
          <w:p>
            <w:pPr>
              <w:spacing w:line="360" w:lineRule="auto" w:before="0" w:after="0"/>
              <w:jc w:val="both"/>
            </w:pPr>
            <w:r>
              <w:rPr>
                <w:rFonts w:ascii="宋体" w:hAnsi="宋体" w:eastAsia="宋体"/>
                <w:b w:val="0"/>
                <w:sz w:val="21"/>
              </w:rPr>
              <w:t>-5.91%</w:t>
            </w:r>
          </w:p>
        </w:tc>
        <w:tc>
          <w:tcPr>
            <w:tcW w:type="dxa" w:w="1081"/>
          </w:tcPr>
          <w:p>
            <w:pPr>
              <w:spacing w:line="360" w:lineRule="auto" w:before="0" w:after="0"/>
              <w:jc w:val="both"/>
            </w:pPr>
            <w:r>
              <w:rPr>
                <w:rFonts w:ascii="宋体" w:hAnsi="宋体" w:eastAsia="宋体"/>
                <w:b w:val="0"/>
                <w:sz w:val="21"/>
              </w:rPr>
              <w:t>0.60%</w:t>
            </w:r>
          </w:p>
        </w:tc>
        <w:tc>
          <w:tcPr>
            <w:tcW w:type="dxa" w:w="1081"/>
          </w:tcPr>
          <w:p>
            <w:pPr>
              <w:spacing w:line="360" w:lineRule="auto" w:before="0" w:after="0"/>
              <w:jc w:val="both"/>
            </w:pPr>
            <w:r>
              <w:rPr>
                <w:rFonts w:ascii="宋体" w:hAnsi="宋体" w:eastAsia="宋体"/>
                <w:b w:val="0"/>
                <w:sz w:val="21"/>
              </w:rPr>
              <w:t>-5.27%</w:t>
            </w:r>
          </w:p>
        </w:tc>
        <w:tc>
          <w:tcPr>
            <w:tcW w:type="dxa" w:w="1081"/>
          </w:tcPr>
          <w:p>
            <w:pPr>
              <w:spacing w:line="360" w:lineRule="auto" w:before="0" w:after="0"/>
              <w:jc w:val="both"/>
            </w:pPr>
            <w:r>
              <w:rPr>
                <w:rFonts w:ascii="宋体" w:hAnsi="宋体" w:eastAsia="宋体"/>
                <w:b w:val="0"/>
                <w:sz w:val="21"/>
              </w:rPr>
              <w:t>-1.489</w:t>
            </w:r>
          </w:p>
        </w:tc>
        <w:tc>
          <w:tcPr>
            <w:tcW w:type="dxa" w:w="1081"/>
          </w:tcPr>
          <w:p>
            <w:pPr>
              <w:spacing w:line="360" w:lineRule="auto" w:before="0" w:after="0"/>
              <w:jc w:val="both"/>
            </w:pPr>
            <w:r>
              <w:rPr>
                <w:rFonts w:ascii="宋体" w:hAnsi="宋体" w:eastAsia="宋体"/>
                <w:b w:val="0"/>
                <w:sz w:val="21"/>
              </w:rPr>
              <w:t>25.0%</w:t>
            </w:r>
          </w:p>
        </w:tc>
        <w:tc>
          <w:tcPr>
            <w:tcW w:type="dxa" w:w="1081"/>
          </w:tcPr>
          <w:p>
            <w:pPr>
              <w:spacing w:line="360" w:lineRule="auto" w:before="0" w:after="0"/>
              <w:jc w:val="both"/>
            </w:pPr>
            <w:r>
              <w:rPr>
                <w:rFonts w:ascii="宋体" w:hAnsi="宋体" w:eastAsia="宋体"/>
                <w:b w:val="0"/>
                <w:sz w:val="21"/>
              </w:rPr>
              <w:t>4</w:t>
            </w:r>
          </w:p>
        </w:tc>
      </w:tr>
      <w:tr>
        <w:tc>
          <w:tcPr>
            <w:tcW w:type="dxa" w:w="1081"/>
          </w:tcPr>
          <w:p>
            <w:pPr>
              <w:spacing w:line="360" w:lineRule="auto" w:before="0" w:after="0"/>
              <w:jc w:val="both"/>
            </w:pPr>
            <w:r>
              <w:rPr>
                <w:rFonts w:ascii="宋体" w:hAnsi="宋体" w:eastAsia="宋体"/>
                <w:b w:val="0"/>
                <w:sz w:val="21"/>
              </w:rPr>
              <w:t>入场20/出场10</w:t>
            </w:r>
          </w:p>
        </w:tc>
        <w:tc>
          <w:tcPr>
            <w:tcW w:type="dxa" w:w="1081"/>
          </w:tcPr>
          <w:p>
            <w:pPr>
              <w:spacing w:line="360" w:lineRule="auto" w:before="0" w:after="0"/>
              <w:jc w:val="both"/>
            </w:pPr>
            <w:r>
              <w:rPr>
                <w:rFonts w:ascii="宋体" w:hAnsi="宋体" w:eastAsia="宋体"/>
                <w:b w:val="0"/>
                <w:sz w:val="21"/>
              </w:rPr>
              <w:t>-6.20%</w:t>
            </w:r>
          </w:p>
        </w:tc>
        <w:tc>
          <w:tcPr>
            <w:tcW w:type="dxa" w:w="1081"/>
          </w:tcPr>
          <w:p>
            <w:pPr>
              <w:spacing w:line="360" w:lineRule="auto" w:before="0" w:after="0"/>
              <w:jc w:val="both"/>
            </w:pPr>
            <w:r>
              <w:rPr>
                <w:rFonts w:ascii="宋体" w:hAnsi="宋体" w:eastAsia="宋体"/>
                <w:b w:val="0"/>
                <w:sz w:val="21"/>
              </w:rPr>
              <w:t>-6.95%</w:t>
            </w:r>
          </w:p>
        </w:tc>
        <w:tc>
          <w:tcPr>
            <w:tcW w:type="dxa" w:w="1081"/>
          </w:tcPr>
          <w:p>
            <w:pPr>
              <w:spacing w:line="360" w:lineRule="auto" w:before="0" w:after="0"/>
              <w:jc w:val="both"/>
            </w:pPr>
            <w:r>
              <w:rPr>
                <w:rFonts w:ascii="宋体" w:hAnsi="宋体" w:eastAsia="宋体"/>
                <w:b w:val="0"/>
                <w:sz w:val="21"/>
              </w:rPr>
              <w:t>-0.33%</w:t>
            </w:r>
          </w:p>
        </w:tc>
        <w:tc>
          <w:tcPr>
            <w:tcW w:type="dxa" w:w="1081"/>
          </w:tcPr>
          <w:p>
            <w:pPr>
              <w:spacing w:line="360" w:lineRule="auto" w:before="0" w:after="0"/>
              <w:jc w:val="both"/>
            </w:pPr>
            <w:r>
              <w:rPr>
                <w:rFonts w:ascii="宋体" w:hAnsi="宋体" w:eastAsia="宋体"/>
                <w:b w:val="0"/>
                <w:sz w:val="21"/>
              </w:rPr>
              <w:t>-7.41%</w:t>
            </w:r>
          </w:p>
        </w:tc>
        <w:tc>
          <w:tcPr>
            <w:tcW w:type="dxa" w:w="1081"/>
          </w:tcPr>
          <w:p>
            <w:pPr>
              <w:spacing w:line="360" w:lineRule="auto" w:before="0" w:after="0"/>
              <w:jc w:val="both"/>
            </w:pPr>
            <w:r>
              <w:rPr>
                <w:rFonts w:ascii="宋体" w:hAnsi="宋体" w:eastAsia="宋体"/>
                <w:b w:val="0"/>
                <w:sz w:val="21"/>
              </w:rPr>
              <w:t>-1.719</w:t>
            </w:r>
          </w:p>
        </w:tc>
        <w:tc>
          <w:tcPr>
            <w:tcW w:type="dxa" w:w="1081"/>
          </w:tcPr>
          <w:p>
            <w:pPr>
              <w:spacing w:line="360" w:lineRule="auto" w:before="0" w:after="0"/>
              <w:jc w:val="both"/>
            </w:pPr>
            <w:r>
              <w:rPr>
                <w:rFonts w:ascii="宋体" w:hAnsi="宋体" w:eastAsia="宋体"/>
                <w:b w:val="0"/>
                <w:sz w:val="21"/>
              </w:rPr>
              <w:t>0.0%</w:t>
            </w:r>
          </w:p>
        </w:tc>
        <w:tc>
          <w:tcPr>
            <w:tcW w:type="dxa" w:w="1081"/>
          </w:tcPr>
          <w:p>
            <w:pPr>
              <w:spacing w:line="360" w:lineRule="auto" w:before="0" w:after="0"/>
              <w:jc w:val="both"/>
            </w:pPr>
            <w:r>
              <w:rPr>
                <w:rFonts w:ascii="宋体" w:hAnsi="宋体" w:eastAsia="宋体"/>
                <w:b w:val="0"/>
                <w:sz w:val="21"/>
              </w:rPr>
              <w:t>3</w:t>
            </w:r>
          </w:p>
        </w:tc>
      </w:tr>
      <w:tr>
        <w:tc>
          <w:tcPr>
            <w:tcW w:type="dxa" w:w="1081"/>
          </w:tcPr>
          <w:p>
            <w:pPr>
              <w:spacing w:line="360" w:lineRule="auto" w:before="0" w:after="0"/>
              <w:jc w:val="both"/>
            </w:pPr>
            <w:r>
              <w:rPr>
                <w:rFonts w:ascii="宋体" w:hAnsi="宋体" w:eastAsia="宋体"/>
                <w:b w:val="0"/>
                <w:sz w:val="21"/>
              </w:rPr>
              <w:t>入场30/出场15</w:t>
            </w:r>
          </w:p>
        </w:tc>
        <w:tc>
          <w:tcPr>
            <w:tcW w:type="dxa" w:w="1081"/>
          </w:tcPr>
          <w:p>
            <w:pPr>
              <w:spacing w:line="360" w:lineRule="auto" w:before="0" w:after="0"/>
              <w:jc w:val="both"/>
            </w:pPr>
            <w:r>
              <w:rPr>
                <w:rFonts w:ascii="宋体" w:hAnsi="宋体" w:eastAsia="宋体"/>
                <w:b w:val="0"/>
                <w:sz w:val="21"/>
              </w:rPr>
              <w:t>-4.81%</w:t>
            </w:r>
          </w:p>
        </w:tc>
        <w:tc>
          <w:tcPr>
            <w:tcW w:type="dxa" w:w="1081"/>
          </w:tcPr>
          <w:p>
            <w:pPr>
              <w:spacing w:line="360" w:lineRule="auto" w:before="0" w:after="0"/>
              <w:jc w:val="both"/>
            </w:pPr>
            <w:r>
              <w:rPr>
                <w:rFonts w:ascii="宋体" w:hAnsi="宋体" w:eastAsia="宋体"/>
                <w:b w:val="0"/>
                <w:sz w:val="21"/>
              </w:rPr>
              <w:t>-5.64%</w:t>
            </w:r>
          </w:p>
        </w:tc>
        <w:tc>
          <w:tcPr>
            <w:tcW w:type="dxa" w:w="1081"/>
          </w:tcPr>
          <w:p>
            <w:pPr>
              <w:spacing w:line="360" w:lineRule="auto" w:before="0" w:after="0"/>
              <w:jc w:val="both"/>
            </w:pPr>
            <w:r>
              <w:rPr>
                <w:rFonts w:ascii="宋体" w:hAnsi="宋体" w:eastAsia="宋体"/>
                <w:b w:val="0"/>
                <w:sz w:val="21"/>
              </w:rPr>
              <w:t>-1.89%</w:t>
            </w:r>
          </w:p>
        </w:tc>
        <w:tc>
          <w:tcPr>
            <w:tcW w:type="dxa" w:w="1081"/>
          </w:tcPr>
          <w:p>
            <w:pPr>
              <w:spacing w:line="360" w:lineRule="auto" w:before="0" w:after="0"/>
              <w:jc w:val="both"/>
            </w:pPr>
            <w:r>
              <w:rPr>
                <w:rFonts w:ascii="宋体" w:hAnsi="宋体" w:eastAsia="宋体"/>
                <w:b w:val="0"/>
                <w:sz w:val="21"/>
              </w:rPr>
              <w:t>-4.81%</w:t>
            </w:r>
          </w:p>
        </w:tc>
        <w:tc>
          <w:tcPr>
            <w:tcW w:type="dxa" w:w="1081"/>
          </w:tcPr>
          <w:p>
            <w:pPr>
              <w:spacing w:line="360" w:lineRule="auto" w:before="0" w:after="0"/>
              <w:jc w:val="both"/>
            </w:pPr>
            <w:r>
              <w:rPr>
                <w:rFonts w:ascii="宋体" w:hAnsi="宋体" w:eastAsia="宋体"/>
                <w:b w:val="0"/>
                <w:sz w:val="21"/>
              </w:rPr>
              <w:t>-2.300</w:t>
            </w:r>
          </w:p>
        </w:tc>
        <w:tc>
          <w:tcPr>
            <w:tcW w:type="dxa" w:w="1081"/>
          </w:tcPr>
          <w:p>
            <w:pPr>
              <w:spacing w:line="360" w:lineRule="auto" w:before="0" w:after="0"/>
              <w:jc w:val="both"/>
            </w:pPr>
            <w:r>
              <w:rPr>
                <w:rFonts w:ascii="宋体" w:hAnsi="宋体" w:eastAsia="宋体"/>
                <w:b w:val="0"/>
                <w:sz w:val="21"/>
              </w:rPr>
              <w:t>0.0%</w:t>
            </w:r>
          </w:p>
        </w:tc>
        <w:tc>
          <w:tcPr>
            <w:tcW w:type="dxa" w:w="1081"/>
          </w:tcPr>
          <w:p>
            <w:pPr>
              <w:spacing w:line="360" w:lineRule="auto" w:before="0" w:after="0"/>
              <w:jc w:val="both"/>
            </w:pPr>
            <w:r>
              <w:rPr>
                <w:rFonts w:ascii="宋体" w:hAnsi="宋体" w:eastAsia="宋体"/>
                <w:b w:val="0"/>
                <w:sz w:val="21"/>
              </w:rPr>
              <w:t>2</w:t>
            </w:r>
          </w:p>
        </w:tc>
      </w:tr>
      <w:tr>
        <w:tc>
          <w:tcPr>
            <w:tcW w:type="dxa" w:w="1081"/>
          </w:tcPr>
          <w:p>
            <w:pPr>
              <w:spacing w:line="360" w:lineRule="auto" w:before="0" w:after="0"/>
              <w:jc w:val="both"/>
            </w:pPr>
            <w:r>
              <w:rPr>
                <w:rFonts w:ascii="宋体" w:hAnsi="宋体" w:eastAsia="宋体"/>
                <w:b w:val="0"/>
                <w:sz w:val="21"/>
              </w:rPr>
              <w:t>入场55/出场20</w:t>
            </w:r>
          </w:p>
        </w:tc>
        <w:tc>
          <w:tcPr>
            <w:tcW w:type="dxa" w:w="1081"/>
          </w:tcPr>
          <w:p>
            <w:pPr>
              <w:spacing w:line="360" w:lineRule="auto" w:before="0" w:after="0"/>
              <w:jc w:val="both"/>
            </w:pPr>
            <w:r>
              <w:rPr>
                <w:rFonts w:ascii="宋体" w:hAnsi="宋体" w:eastAsia="宋体"/>
                <w:b w:val="0"/>
                <w:sz w:val="21"/>
              </w:rPr>
              <w:t>-4.81%</w:t>
            </w:r>
          </w:p>
        </w:tc>
        <w:tc>
          <w:tcPr>
            <w:tcW w:type="dxa" w:w="1081"/>
          </w:tcPr>
          <w:p>
            <w:pPr>
              <w:spacing w:line="360" w:lineRule="auto" w:before="0" w:after="0"/>
              <w:jc w:val="both"/>
            </w:pPr>
            <w:r>
              <w:rPr>
                <w:rFonts w:ascii="宋体" w:hAnsi="宋体" w:eastAsia="宋体"/>
                <w:b w:val="0"/>
                <w:sz w:val="21"/>
              </w:rPr>
              <w:t>-6.36%</w:t>
            </w:r>
          </w:p>
        </w:tc>
        <w:tc>
          <w:tcPr>
            <w:tcW w:type="dxa" w:w="1081"/>
          </w:tcPr>
          <w:p>
            <w:pPr>
              <w:spacing w:line="360" w:lineRule="auto" w:before="0" w:after="0"/>
              <w:jc w:val="both"/>
            </w:pPr>
            <w:r>
              <w:rPr>
                <w:rFonts w:ascii="宋体" w:hAnsi="宋体" w:eastAsia="宋体"/>
                <w:b w:val="0"/>
                <w:sz w:val="21"/>
              </w:rPr>
              <w:t>-2.00%</w:t>
            </w:r>
          </w:p>
        </w:tc>
        <w:tc>
          <w:tcPr>
            <w:tcW w:type="dxa" w:w="1081"/>
          </w:tcPr>
          <w:p>
            <w:pPr>
              <w:spacing w:line="360" w:lineRule="auto" w:before="0" w:after="0"/>
              <w:jc w:val="both"/>
            </w:pPr>
            <w:r>
              <w:rPr>
                <w:rFonts w:ascii="宋体" w:hAnsi="宋体" w:eastAsia="宋体"/>
                <w:b w:val="0"/>
                <w:sz w:val="21"/>
              </w:rPr>
              <w:t>-4.81%</w:t>
            </w:r>
          </w:p>
        </w:tc>
        <w:tc>
          <w:tcPr>
            <w:tcW w:type="dxa" w:w="1081"/>
          </w:tcPr>
          <w:p>
            <w:pPr>
              <w:spacing w:line="360" w:lineRule="auto" w:before="0" w:after="0"/>
              <w:jc w:val="both"/>
            </w:pPr>
            <w:r>
              <w:rPr>
                <w:rFonts w:ascii="宋体" w:hAnsi="宋体" w:eastAsia="宋体"/>
                <w:b w:val="0"/>
                <w:sz w:val="21"/>
              </w:rPr>
              <w:t>-2.375</w:t>
            </w:r>
          </w:p>
        </w:tc>
        <w:tc>
          <w:tcPr>
            <w:tcW w:type="dxa" w:w="1081"/>
          </w:tcPr>
          <w:p>
            <w:pPr>
              <w:spacing w:line="360" w:lineRule="auto" w:before="0" w:after="0"/>
              <w:jc w:val="both"/>
            </w:pPr>
            <w:r>
              <w:rPr>
                <w:rFonts w:ascii="宋体" w:hAnsi="宋体" w:eastAsia="宋体"/>
                <w:b w:val="0"/>
                <w:sz w:val="21"/>
              </w:rPr>
              <w:t>0.0%</w:t>
            </w:r>
          </w:p>
        </w:tc>
        <w:tc>
          <w:tcPr>
            <w:tcW w:type="dxa" w:w="1081"/>
          </w:tcPr>
          <w:p>
            <w:pPr>
              <w:spacing w:line="360" w:lineRule="auto" w:before="0" w:after="0"/>
              <w:jc w:val="both"/>
            </w:pPr>
            <w:r>
              <w:rPr>
                <w:rFonts w:ascii="宋体" w:hAnsi="宋体" w:eastAsia="宋体"/>
                <w:b w:val="0"/>
                <w:sz w:val="21"/>
              </w:rPr>
              <w:t>2</w:t>
            </w:r>
          </w:p>
        </w:tc>
      </w:tr>
    </w:tbl>
    <w:p>
      <w:pPr>
        <w:spacing w:line="360" w:lineRule="auto" w:before="0" w:after="0"/>
        <w:ind w:firstLine="420"/>
        <w:jc w:val="both"/>
      </w:pPr>
      <w:r>
        <w:rPr>
          <w:rFonts w:ascii="宋体" w:hAnsi="宋体" w:eastAsia="宋体"/>
          <w:b w:val="0"/>
          <w:sz w:val="21"/>
        </w:rPr>
        <w:t>从周期对比可以看出，极短周期（5/3）交易最为频繁（8次），但假突破较多，胜率仅25%，总收益-7.30%。中短周期（10/5和15/7）表现相对较好，其中10/5参数胜率达到50%，超额收益为正。经典系统一（20/10）产生3次交易，总收益-6.20%。长周期（55/20）信号最少（2次），总收益-4.81%，虽然绝对亏损最小但超额收益也为负。整体来看，在下跌市场中，中短周期参数（10/5、15/7）在捕捉反弹机会和控制风险方面表现更优。</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4.2 不同股票对比</w:t>
      </w:r>
    </w:p>
    <w:p>
      <w:pPr>
        <w:spacing w:line="360" w:lineRule="auto" w:before="0" w:after="0"/>
        <w:ind w:firstLine="420"/>
        <w:jc w:val="both"/>
      </w:pPr>
      <w:r>
        <w:rPr>
          <w:rFonts w:ascii="宋体" w:hAnsi="宋体" w:eastAsia="宋体"/>
          <w:b w:val="0"/>
          <w:sz w:val="21"/>
        </w:rPr>
        <w:t>为了检验策略的普适性，本任务在三个不同风格的股票上进行了回测：长江电力（防御型公用事业）、贵州茅台（消费型蓝筹）、中国平安（金融型蓝筹）。每只股票均测试全部八组参数，共24组回测结果，如表2所示。图7为各股票最优参数的综合对比图。</w:t>
      </w:r>
    </w:p>
    <w:p>
      <w:pPr>
        <w:spacing w:before="120" w:after="0"/>
        <w:jc w:val="center"/>
      </w:pPr>
      <w:r>
        <w:drawing>
          <wp:inline xmlns:a="http://schemas.openxmlformats.org/drawingml/2006/main" xmlns:pic="http://schemas.openxmlformats.org/drawingml/2006/picture">
            <wp:extent cx="5040000" cy="3573730"/>
            <wp:docPr id="7" name="Picture 7"/>
            <wp:cNvGraphicFramePr>
              <a:graphicFrameLocks noChangeAspect="1"/>
            </wp:cNvGraphicFramePr>
            <a:graphic>
              <a:graphicData uri="http://schemas.openxmlformats.org/drawingml/2006/picture">
                <pic:pic>
                  <pic:nvPicPr>
                    <pic:cNvPr id="0" name="comparison_stocks.png"/>
                    <pic:cNvPicPr/>
                  </pic:nvPicPr>
                  <pic:blipFill>
                    <a:blip r:embed="rId15"/>
                    <a:stretch>
                      <a:fillRect/>
                    </a:stretch>
                  </pic:blipFill>
                  <pic:spPr>
                    <a:xfrm>
                      <a:off x="0" y="0"/>
                      <a:ext cx="5040000" cy="3573730"/>
                    </a:xfrm>
                    <a:prstGeom prst="rect"/>
                  </pic:spPr>
                </pic:pic>
              </a:graphicData>
            </a:graphic>
          </wp:inline>
        </w:drawing>
      </w:r>
    </w:p>
    <w:p>
      <w:pPr>
        <w:spacing w:line="360" w:lineRule="auto" w:before="0" w:after="120"/>
        <w:jc w:val="center"/>
      </w:pPr>
      <w:r>
        <w:rPr>
          <w:rFonts w:ascii="宋体" w:hAnsi="宋体" w:eastAsia="宋体"/>
          <w:b/>
          <w:sz w:val="20"/>
        </w:rPr>
        <w:t>图7 不同股票海龟策略综合对比（各股票最优参数）</w:t>
      </w:r>
    </w:p>
    <w:p>
      <w:pPr>
        <w:spacing w:line="360" w:lineRule="auto" w:before="0" w:after="0"/>
        <w:jc w:val="both"/>
      </w:pPr>
      <w:r>
        <w:rPr>
          <w:rFonts w:ascii="宋体" w:hAnsi="宋体" w:eastAsia="宋体"/>
          <w:b w:val="0"/>
          <w:sz w:val="21"/>
        </w:rPr>
        <w:t>表2 三只股票 x 八组参数完整回测结果（共24组）</w:t>
      </w:r>
    </w:p>
    <w:tbl>
      <w:tblPr>
        <w:tblStyle w:val="TableGrid"/>
        <w:tblW w:type="auto" w:w="0"/>
        <w:tblLook w:firstColumn="1" w:firstRow="1" w:lastColumn="0" w:lastRow="0" w:noHBand="0" w:noVBand="1" w:val="04A0"/>
      </w:tblPr>
      <w:tblGrid>
        <w:gridCol w:w="1081"/>
        <w:gridCol w:w="1081"/>
        <w:gridCol w:w="1081"/>
        <w:gridCol w:w="1081"/>
        <w:gridCol w:w="1081"/>
        <w:gridCol w:w="1081"/>
        <w:gridCol w:w="1081"/>
        <w:gridCol w:w="1081"/>
      </w:tblGrid>
      <w:tr>
        <w:tc>
          <w:tcPr>
            <w:tcW w:type="dxa" w:w="1081"/>
          </w:tcPr>
          <w:p>
            <w:pPr>
              <w:spacing w:line="360" w:lineRule="auto" w:before="0" w:after="0"/>
              <w:jc w:val="both"/>
            </w:pPr>
            <w:r>
              <w:rPr>
                <w:rFonts w:ascii="宋体" w:hAnsi="宋体" w:eastAsia="宋体"/>
                <w:b/>
                <w:sz w:val="21"/>
              </w:rPr>
              <w:t>股票</w:t>
            </w:r>
          </w:p>
        </w:tc>
        <w:tc>
          <w:tcPr>
            <w:tcW w:type="dxa" w:w="1081"/>
          </w:tcPr>
          <w:p>
            <w:pPr>
              <w:spacing w:line="360" w:lineRule="auto" w:before="0" w:after="0"/>
              <w:jc w:val="both"/>
            </w:pPr>
            <w:r>
              <w:rPr>
                <w:rFonts w:ascii="宋体" w:hAnsi="宋体" w:eastAsia="宋体"/>
                <w:b/>
                <w:sz w:val="21"/>
              </w:rPr>
              <w:t>参数</w:t>
            </w:r>
          </w:p>
        </w:tc>
        <w:tc>
          <w:tcPr>
            <w:tcW w:type="dxa" w:w="1081"/>
          </w:tcPr>
          <w:p>
            <w:pPr>
              <w:spacing w:line="360" w:lineRule="auto" w:before="0" w:after="0"/>
              <w:jc w:val="both"/>
            </w:pPr>
            <w:r>
              <w:rPr>
                <w:rFonts w:ascii="宋体" w:hAnsi="宋体" w:eastAsia="宋体"/>
                <w:b/>
                <w:sz w:val="21"/>
              </w:rPr>
              <w:t>总收益</w:t>
            </w:r>
          </w:p>
        </w:tc>
        <w:tc>
          <w:tcPr>
            <w:tcW w:type="dxa" w:w="1081"/>
          </w:tcPr>
          <w:p>
            <w:pPr>
              <w:spacing w:line="360" w:lineRule="auto" w:before="0" w:after="0"/>
              <w:jc w:val="both"/>
            </w:pPr>
            <w:r>
              <w:rPr>
                <w:rFonts w:ascii="宋体" w:hAnsi="宋体" w:eastAsia="宋体"/>
                <w:b/>
                <w:sz w:val="21"/>
              </w:rPr>
              <w:t>买入持有</w:t>
            </w:r>
          </w:p>
        </w:tc>
        <w:tc>
          <w:tcPr>
            <w:tcW w:type="dxa" w:w="1081"/>
          </w:tcPr>
          <w:p>
            <w:pPr>
              <w:spacing w:line="360" w:lineRule="auto" w:before="0" w:after="0"/>
              <w:jc w:val="both"/>
            </w:pPr>
            <w:r>
              <w:rPr>
                <w:rFonts w:ascii="宋体" w:hAnsi="宋体" w:eastAsia="宋体"/>
                <w:b/>
                <w:sz w:val="21"/>
              </w:rPr>
              <w:t>超额</w:t>
            </w:r>
          </w:p>
        </w:tc>
        <w:tc>
          <w:tcPr>
            <w:tcW w:type="dxa" w:w="1081"/>
          </w:tcPr>
          <w:p>
            <w:pPr>
              <w:spacing w:line="360" w:lineRule="auto" w:before="0" w:after="0"/>
              <w:jc w:val="both"/>
            </w:pPr>
            <w:r>
              <w:rPr>
                <w:rFonts w:ascii="宋体" w:hAnsi="宋体" w:eastAsia="宋体"/>
                <w:b/>
                <w:sz w:val="21"/>
              </w:rPr>
              <w:t>最大回撤</w:t>
            </w:r>
          </w:p>
        </w:tc>
        <w:tc>
          <w:tcPr>
            <w:tcW w:type="dxa" w:w="1081"/>
          </w:tcPr>
          <w:p>
            <w:pPr>
              <w:spacing w:line="360" w:lineRule="auto" w:before="0" w:after="0"/>
              <w:jc w:val="both"/>
            </w:pPr>
            <w:r>
              <w:rPr>
                <w:rFonts w:ascii="宋体" w:hAnsi="宋体" w:eastAsia="宋体"/>
                <w:b/>
                <w:sz w:val="21"/>
              </w:rPr>
              <w:t>胜率</w:t>
            </w:r>
          </w:p>
        </w:tc>
        <w:tc>
          <w:tcPr>
            <w:tcW w:type="dxa" w:w="1081"/>
          </w:tcPr>
          <w:p>
            <w:pPr>
              <w:spacing w:line="360" w:lineRule="auto" w:before="0" w:after="0"/>
              <w:jc w:val="both"/>
            </w:pPr>
            <w:r>
              <w:rPr>
                <w:rFonts w:ascii="宋体" w:hAnsi="宋体" w:eastAsia="宋体"/>
                <w:b/>
                <w:sz w:val="21"/>
              </w:rPr>
              <w:t>交易次数</w:t>
            </w:r>
          </w:p>
        </w:tc>
      </w:tr>
      <w:tr>
        <w:tc>
          <w:tcPr>
            <w:tcW w:type="dxa" w:w="1081"/>
          </w:tcPr>
          <w:p>
            <w:pPr>
              <w:spacing w:line="360" w:lineRule="auto" w:before="0" w:after="0"/>
              <w:jc w:val="both"/>
            </w:pPr>
            <w:r>
              <w:rPr>
                <w:rFonts w:ascii="宋体" w:hAnsi="宋体" w:eastAsia="宋体"/>
                <w:b w:val="0"/>
                <w:sz w:val="21"/>
              </w:rPr>
              <w:t>长江电力</w:t>
            </w:r>
          </w:p>
        </w:tc>
        <w:tc>
          <w:tcPr>
            <w:tcW w:type="dxa" w:w="1081"/>
          </w:tcPr>
          <w:p>
            <w:pPr>
              <w:spacing w:line="360" w:lineRule="auto" w:before="0" w:after="0"/>
              <w:jc w:val="both"/>
            </w:pPr>
            <w:r>
              <w:rPr>
                <w:rFonts w:ascii="宋体" w:hAnsi="宋体" w:eastAsia="宋体"/>
                <w:b w:val="0"/>
                <w:sz w:val="21"/>
              </w:rPr>
              <w:t>5/3</w:t>
            </w:r>
          </w:p>
        </w:tc>
        <w:tc>
          <w:tcPr>
            <w:tcW w:type="dxa" w:w="1081"/>
          </w:tcPr>
          <w:p>
            <w:pPr>
              <w:spacing w:line="360" w:lineRule="auto" w:before="0" w:after="0"/>
              <w:jc w:val="both"/>
            </w:pPr>
            <w:r>
              <w:rPr>
                <w:rFonts w:ascii="宋体" w:hAnsi="宋体" w:eastAsia="宋体"/>
                <w:b w:val="0"/>
                <w:sz w:val="21"/>
              </w:rPr>
              <w:t>-9.01%</w:t>
            </w:r>
          </w:p>
        </w:tc>
        <w:tc>
          <w:tcPr>
            <w:tcW w:type="dxa" w:w="1081"/>
          </w:tcPr>
          <w:p>
            <w:pPr>
              <w:spacing w:line="360" w:lineRule="auto" w:before="0" w:after="0"/>
              <w:jc w:val="both"/>
            </w:pPr>
            <w:r>
              <w:rPr>
                <w:rFonts w:ascii="宋体" w:hAnsi="宋体" w:eastAsia="宋体"/>
                <w:b w:val="0"/>
                <w:sz w:val="21"/>
              </w:rPr>
              <w:t>-9.93%</w:t>
            </w:r>
          </w:p>
        </w:tc>
        <w:tc>
          <w:tcPr>
            <w:tcW w:type="dxa" w:w="1081"/>
          </w:tcPr>
          <w:p>
            <w:pPr>
              <w:spacing w:line="360" w:lineRule="auto" w:before="0" w:after="0"/>
              <w:jc w:val="both"/>
            </w:pPr>
            <w:r>
              <w:rPr>
                <w:rFonts w:ascii="宋体" w:hAnsi="宋体" w:eastAsia="宋体"/>
                <w:b w:val="0"/>
                <w:sz w:val="21"/>
              </w:rPr>
              <w:t>+0.92%</w:t>
            </w:r>
          </w:p>
        </w:tc>
        <w:tc>
          <w:tcPr>
            <w:tcW w:type="dxa" w:w="1081"/>
          </w:tcPr>
          <w:p>
            <w:pPr>
              <w:spacing w:line="360" w:lineRule="auto" w:before="0" w:after="0"/>
              <w:jc w:val="both"/>
            </w:pPr>
            <w:r>
              <w:rPr>
                <w:rFonts w:ascii="宋体" w:hAnsi="宋体" w:eastAsia="宋体"/>
                <w:b w:val="0"/>
                <w:sz w:val="21"/>
              </w:rPr>
              <w:t>-9.36%</w:t>
            </w:r>
          </w:p>
        </w:tc>
        <w:tc>
          <w:tcPr>
            <w:tcW w:type="dxa" w:w="1081"/>
          </w:tcPr>
          <w:p>
            <w:pPr>
              <w:spacing w:line="360" w:lineRule="auto" w:before="0" w:after="0"/>
              <w:jc w:val="both"/>
            </w:pPr>
            <w:r>
              <w:rPr>
                <w:rFonts w:ascii="宋体" w:hAnsi="宋体" w:eastAsia="宋体"/>
                <w:b w:val="0"/>
                <w:sz w:val="21"/>
              </w:rPr>
              <w:t>22%</w:t>
            </w:r>
          </w:p>
        </w:tc>
        <w:tc>
          <w:tcPr>
            <w:tcW w:type="dxa" w:w="1081"/>
          </w:tcPr>
          <w:p>
            <w:pPr>
              <w:spacing w:line="360" w:lineRule="auto" w:before="0" w:after="0"/>
              <w:jc w:val="both"/>
            </w:pPr>
            <w:r>
              <w:rPr>
                <w:rFonts w:ascii="宋体" w:hAnsi="宋体" w:eastAsia="宋体"/>
                <w:b w:val="0"/>
                <w:sz w:val="21"/>
              </w:rPr>
              <w:t>9</w:t>
            </w:r>
          </w:p>
        </w:tc>
      </w:tr>
      <w:tr>
        <w:tc>
          <w:tcPr>
            <w:tcW w:type="dxa" w:w="1081"/>
          </w:tcPr>
          <w:p>
            <w:pPr>
              <w:spacing w:line="360" w:lineRule="auto" w:before="0" w:after="0"/>
              <w:jc w:val="both"/>
            </w:pPr>
            <w:r>
              <w:rPr>
                <w:rFonts w:ascii="宋体" w:hAnsi="宋体" w:eastAsia="宋体"/>
                <w:b w:val="0"/>
                <w:sz w:val="21"/>
              </w:rPr>
              <w:t>长江电力</w:t>
            </w:r>
          </w:p>
        </w:tc>
        <w:tc>
          <w:tcPr>
            <w:tcW w:type="dxa" w:w="1081"/>
          </w:tcPr>
          <w:p>
            <w:pPr>
              <w:spacing w:line="360" w:lineRule="auto" w:before="0" w:after="0"/>
              <w:jc w:val="both"/>
            </w:pPr>
            <w:r>
              <w:rPr>
                <w:rFonts w:ascii="宋体" w:hAnsi="宋体" w:eastAsia="宋体"/>
                <w:b w:val="0"/>
                <w:sz w:val="21"/>
              </w:rPr>
              <w:t>5/5</w:t>
            </w:r>
          </w:p>
        </w:tc>
        <w:tc>
          <w:tcPr>
            <w:tcW w:type="dxa" w:w="1081"/>
          </w:tcPr>
          <w:p>
            <w:pPr>
              <w:spacing w:line="360" w:lineRule="auto" w:before="0" w:after="0"/>
              <w:jc w:val="both"/>
            </w:pPr>
            <w:r>
              <w:rPr>
                <w:rFonts w:ascii="宋体" w:hAnsi="宋体" w:eastAsia="宋体"/>
                <w:b w:val="0"/>
                <w:sz w:val="21"/>
              </w:rPr>
              <w:t>-9.19%</w:t>
            </w:r>
          </w:p>
        </w:tc>
        <w:tc>
          <w:tcPr>
            <w:tcW w:type="dxa" w:w="1081"/>
          </w:tcPr>
          <w:p>
            <w:pPr>
              <w:spacing w:line="360" w:lineRule="auto" w:before="0" w:after="0"/>
              <w:jc w:val="both"/>
            </w:pPr>
            <w:r>
              <w:rPr>
                <w:rFonts w:ascii="宋体" w:hAnsi="宋体" w:eastAsia="宋体"/>
                <w:b w:val="0"/>
                <w:sz w:val="21"/>
              </w:rPr>
              <w:t>-9.93%</w:t>
            </w:r>
          </w:p>
        </w:tc>
        <w:tc>
          <w:tcPr>
            <w:tcW w:type="dxa" w:w="1081"/>
          </w:tcPr>
          <w:p>
            <w:pPr>
              <w:spacing w:line="360" w:lineRule="auto" w:before="0" w:after="0"/>
              <w:jc w:val="both"/>
            </w:pPr>
            <w:r>
              <w:rPr>
                <w:rFonts w:ascii="宋体" w:hAnsi="宋体" w:eastAsia="宋体"/>
                <w:b w:val="0"/>
                <w:sz w:val="21"/>
              </w:rPr>
              <w:t>+0.74%</w:t>
            </w:r>
          </w:p>
        </w:tc>
        <w:tc>
          <w:tcPr>
            <w:tcW w:type="dxa" w:w="1081"/>
          </w:tcPr>
          <w:p>
            <w:pPr>
              <w:spacing w:line="360" w:lineRule="auto" w:before="0" w:after="0"/>
              <w:jc w:val="both"/>
            </w:pPr>
            <w:r>
              <w:rPr>
                <w:rFonts w:ascii="宋体" w:hAnsi="宋体" w:eastAsia="宋体"/>
                <w:b w:val="0"/>
                <w:sz w:val="21"/>
              </w:rPr>
              <w:t>-9.54%</w:t>
            </w:r>
          </w:p>
        </w:tc>
        <w:tc>
          <w:tcPr>
            <w:tcW w:type="dxa" w:w="1081"/>
          </w:tcPr>
          <w:p>
            <w:pPr>
              <w:spacing w:line="360" w:lineRule="auto" w:before="0" w:after="0"/>
              <w:jc w:val="both"/>
            </w:pPr>
            <w:r>
              <w:rPr>
                <w:rFonts w:ascii="宋体" w:hAnsi="宋体" w:eastAsia="宋体"/>
                <w:b w:val="0"/>
                <w:sz w:val="21"/>
              </w:rPr>
              <w:t>25%</w:t>
            </w:r>
          </w:p>
        </w:tc>
        <w:tc>
          <w:tcPr>
            <w:tcW w:type="dxa" w:w="1081"/>
          </w:tcPr>
          <w:p>
            <w:pPr>
              <w:spacing w:line="360" w:lineRule="auto" w:before="0" w:after="0"/>
              <w:jc w:val="both"/>
            </w:pPr>
            <w:r>
              <w:rPr>
                <w:rFonts w:ascii="宋体" w:hAnsi="宋体" w:eastAsia="宋体"/>
                <w:b w:val="0"/>
                <w:sz w:val="21"/>
              </w:rPr>
              <w:t>8</w:t>
            </w:r>
          </w:p>
        </w:tc>
      </w:tr>
      <w:tr>
        <w:tc>
          <w:tcPr>
            <w:tcW w:type="dxa" w:w="1081"/>
          </w:tcPr>
          <w:p>
            <w:pPr>
              <w:spacing w:line="360" w:lineRule="auto" w:before="0" w:after="0"/>
              <w:jc w:val="both"/>
            </w:pPr>
            <w:r>
              <w:rPr>
                <w:rFonts w:ascii="宋体" w:hAnsi="宋体" w:eastAsia="宋体"/>
                <w:b w:val="0"/>
                <w:sz w:val="21"/>
              </w:rPr>
              <w:t>长江电力</w:t>
            </w:r>
          </w:p>
        </w:tc>
        <w:tc>
          <w:tcPr>
            <w:tcW w:type="dxa" w:w="1081"/>
          </w:tcPr>
          <w:p>
            <w:pPr>
              <w:spacing w:line="360" w:lineRule="auto" w:before="0" w:after="0"/>
              <w:jc w:val="both"/>
            </w:pPr>
            <w:r>
              <w:rPr>
                <w:rFonts w:ascii="宋体" w:hAnsi="宋体" w:eastAsia="宋体"/>
                <w:b w:val="0"/>
                <w:sz w:val="21"/>
              </w:rPr>
              <w:t>10/5</w:t>
            </w:r>
          </w:p>
        </w:tc>
        <w:tc>
          <w:tcPr>
            <w:tcW w:type="dxa" w:w="1081"/>
          </w:tcPr>
          <w:p>
            <w:pPr>
              <w:spacing w:line="360" w:lineRule="auto" w:before="0" w:after="0"/>
              <w:jc w:val="both"/>
            </w:pPr>
            <w:r>
              <w:rPr>
                <w:rFonts w:ascii="宋体" w:hAnsi="宋体" w:eastAsia="宋体"/>
                <w:b w:val="0"/>
                <w:sz w:val="21"/>
              </w:rPr>
              <w:t>-3.10%</w:t>
            </w:r>
          </w:p>
        </w:tc>
        <w:tc>
          <w:tcPr>
            <w:tcW w:type="dxa" w:w="1081"/>
          </w:tcPr>
          <w:p>
            <w:pPr>
              <w:spacing w:line="360" w:lineRule="auto" w:before="0" w:after="0"/>
              <w:jc w:val="both"/>
            </w:pPr>
            <w:r>
              <w:rPr>
                <w:rFonts w:ascii="宋体" w:hAnsi="宋体" w:eastAsia="宋体"/>
                <w:b w:val="0"/>
                <w:sz w:val="21"/>
              </w:rPr>
              <w:t>-11.58%</w:t>
            </w:r>
          </w:p>
        </w:tc>
        <w:tc>
          <w:tcPr>
            <w:tcW w:type="dxa" w:w="1081"/>
          </w:tcPr>
          <w:p>
            <w:pPr>
              <w:spacing w:line="360" w:lineRule="auto" w:before="0" w:after="0"/>
              <w:jc w:val="both"/>
            </w:pPr>
            <w:r>
              <w:rPr>
                <w:rFonts w:ascii="宋体" w:hAnsi="宋体" w:eastAsia="宋体"/>
                <w:b w:val="0"/>
                <w:sz w:val="21"/>
              </w:rPr>
              <w:t>+8.48%</w:t>
            </w:r>
          </w:p>
        </w:tc>
        <w:tc>
          <w:tcPr>
            <w:tcW w:type="dxa" w:w="1081"/>
          </w:tcPr>
          <w:p>
            <w:pPr>
              <w:spacing w:line="360" w:lineRule="auto" w:before="0" w:after="0"/>
              <w:jc w:val="both"/>
            </w:pPr>
            <w:r>
              <w:rPr>
                <w:rFonts w:ascii="宋体" w:hAnsi="宋体" w:eastAsia="宋体"/>
                <w:b w:val="0"/>
                <w:sz w:val="21"/>
              </w:rPr>
              <w:t>-5.73%</w:t>
            </w:r>
          </w:p>
        </w:tc>
        <w:tc>
          <w:tcPr>
            <w:tcW w:type="dxa" w:w="1081"/>
          </w:tcPr>
          <w:p>
            <w:pPr>
              <w:spacing w:line="360" w:lineRule="auto" w:before="0" w:after="0"/>
              <w:jc w:val="both"/>
            </w:pPr>
            <w:r>
              <w:rPr>
                <w:rFonts w:ascii="宋体" w:hAnsi="宋体" w:eastAsia="宋体"/>
                <w:b w:val="0"/>
                <w:sz w:val="21"/>
              </w:rPr>
              <w:t>50%</w:t>
            </w:r>
          </w:p>
        </w:tc>
        <w:tc>
          <w:tcPr>
            <w:tcW w:type="dxa" w:w="1081"/>
          </w:tcPr>
          <w:p>
            <w:pPr>
              <w:spacing w:line="360" w:lineRule="auto" w:before="0" w:after="0"/>
              <w:jc w:val="both"/>
            </w:pPr>
            <w:r>
              <w:rPr>
                <w:rFonts w:ascii="宋体" w:hAnsi="宋体" w:eastAsia="宋体"/>
                <w:b w:val="0"/>
                <w:sz w:val="21"/>
              </w:rPr>
              <w:t>4</w:t>
            </w:r>
          </w:p>
        </w:tc>
      </w:tr>
      <w:tr>
        <w:tc>
          <w:tcPr>
            <w:tcW w:type="dxa" w:w="1081"/>
          </w:tcPr>
          <w:p>
            <w:pPr>
              <w:spacing w:line="360" w:lineRule="auto" w:before="0" w:after="0"/>
              <w:jc w:val="both"/>
            </w:pPr>
            <w:r>
              <w:rPr>
                <w:rFonts w:ascii="宋体" w:hAnsi="宋体" w:eastAsia="宋体"/>
                <w:b w:val="0"/>
                <w:sz w:val="21"/>
              </w:rPr>
              <w:t>长江电力</w:t>
            </w:r>
          </w:p>
        </w:tc>
        <w:tc>
          <w:tcPr>
            <w:tcW w:type="dxa" w:w="1081"/>
          </w:tcPr>
          <w:p>
            <w:pPr>
              <w:spacing w:line="360" w:lineRule="auto" w:before="0" w:after="0"/>
              <w:jc w:val="both"/>
            </w:pPr>
            <w:r>
              <w:rPr>
                <w:rFonts w:ascii="宋体" w:hAnsi="宋体" w:eastAsia="宋体"/>
                <w:b w:val="0"/>
                <w:sz w:val="21"/>
              </w:rPr>
              <w:t>10/10</w:t>
            </w:r>
          </w:p>
        </w:tc>
        <w:tc>
          <w:tcPr>
            <w:tcW w:type="dxa" w:w="1081"/>
          </w:tcPr>
          <w:p>
            <w:pPr>
              <w:spacing w:line="360" w:lineRule="auto" w:before="0" w:after="0"/>
              <w:jc w:val="both"/>
            </w:pPr>
            <w:r>
              <w:rPr>
                <w:rFonts w:ascii="宋体" w:hAnsi="宋体" w:eastAsia="宋体"/>
                <w:b w:val="0"/>
                <w:sz w:val="21"/>
              </w:rPr>
              <w:t>-7.51%</w:t>
            </w:r>
          </w:p>
        </w:tc>
        <w:tc>
          <w:tcPr>
            <w:tcW w:type="dxa" w:w="1081"/>
          </w:tcPr>
          <w:p>
            <w:pPr>
              <w:spacing w:line="360" w:lineRule="auto" w:before="0" w:after="0"/>
              <w:jc w:val="both"/>
            </w:pPr>
            <w:r>
              <w:rPr>
                <w:rFonts w:ascii="宋体" w:hAnsi="宋体" w:eastAsia="宋体"/>
                <w:b w:val="0"/>
                <w:sz w:val="21"/>
              </w:rPr>
              <w:t>-11.58%</w:t>
            </w:r>
          </w:p>
        </w:tc>
        <w:tc>
          <w:tcPr>
            <w:tcW w:type="dxa" w:w="1081"/>
          </w:tcPr>
          <w:p>
            <w:pPr>
              <w:spacing w:line="360" w:lineRule="auto" w:before="0" w:after="0"/>
              <w:jc w:val="both"/>
            </w:pPr>
            <w:r>
              <w:rPr>
                <w:rFonts w:ascii="宋体" w:hAnsi="宋体" w:eastAsia="宋体"/>
                <w:b w:val="0"/>
                <w:sz w:val="21"/>
              </w:rPr>
              <w:t>+4.07%</w:t>
            </w:r>
          </w:p>
        </w:tc>
        <w:tc>
          <w:tcPr>
            <w:tcW w:type="dxa" w:w="1081"/>
          </w:tcPr>
          <w:p>
            <w:pPr>
              <w:spacing w:line="360" w:lineRule="auto" w:before="0" w:after="0"/>
              <w:jc w:val="both"/>
            </w:pPr>
            <w:r>
              <w:rPr>
                <w:rFonts w:ascii="宋体" w:hAnsi="宋体" w:eastAsia="宋体"/>
                <w:b w:val="0"/>
                <w:sz w:val="21"/>
              </w:rPr>
              <w:t>-10.02%</w:t>
            </w:r>
          </w:p>
        </w:tc>
        <w:tc>
          <w:tcPr>
            <w:tcW w:type="dxa" w:w="1081"/>
          </w:tcPr>
          <w:p>
            <w:pPr>
              <w:spacing w:line="360" w:lineRule="auto" w:before="0" w:after="0"/>
              <w:jc w:val="both"/>
            </w:pPr>
            <w:r>
              <w:rPr>
                <w:rFonts w:ascii="宋体" w:hAnsi="宋体" w:eastAsia="宋体"/>
                <w:b w:val="0"/>
                <w:sz w:val="21"/>
              </w:rPr>
              <w:t>0%</w:t>
            </w:r>
          </w:p>
        </w:tc>
        <w:tc>
          <w:tcPr>
            <w:tcW w:type="dxa" w:w="1081"/>
          </w:tcPr>
          <w:p>
            <w:pPr>
              <w:spacing w:line="360" w:lineRule="auto" w:before="0" w:after="0"/>
              <w:jc w:val="both"/>
            </w:pPr>
            <w:r>
              <w:rPr>
                <w:rFonts w:ascii="宋体" w:hAnsi="宋体" w:eastAsia="宋体"/>
                <w:b w:val="0"/>
                <w:sz w:val="21"/>
              </w:rPr>
              <w:t>4</w:t>
            </w:r>
          </w:p>
        </w:tc>
      </w:tr>
      <w:tr>
        <w:tc>
          <w:tcPr>
            <w:tcW w:type="dxa" w:w="1081"/>
          </w:tcPr>
          <w:p>
            <w:pPr>
              <w:spacing w:line="360" w:lineRule="auto" w:before="0" w:after="0"/>
              <w:jc w:val="both"/>
            </w:pPr>
            <w:r>
              <w:rPr>
                <w:rFonts w:ascii="宋体" w:hAnsi="宋体" w:eastAsia="宋体"/>
                <w:b w:val="0"/>
                <w:sz w:val="21"/>
              </w:rPr>
              <w:t>长江电力</w:t>
            </w:r>
          </w:p>
        </w:tc>
        <w:tc>
          <w:tcPr>
            <w:tcW w:type="dxa" w:w="1081"/>
          </w:tcPr>
          <w:p>
            <w:pPr>
              <w:spacing w:line="360" w:lineRule="auto" w:before="0" w:after="0"/>
              <w:jc w:val="both"/>
            </w:pPr>
            <w:r>
              <w:rPr>
                <w:rFonts w:ascii="宋体" w:hAnsi="宋体" w:eastAsia="宋体"/>
                <w:b w:val="0"/>
                <w:sz w:val="21"/>
              </w:rPr>
              <w:t>15/7</w:t>
            </w:r>
          </w:p>
        </w:tc>
        <w:tc>
          <w:tcPr>
            <w:tcW w:type="dxa" w:w="1081"/>
          </w:tcPr>
          <w:p>
            <w:pPr>
              <w:spacing w:line="360" w:lineRule="auto" w:before="0" w:after="0"/>
              <w:jc w:val="both"/>
            </w:pPr>
            <w:r>
              <w:rPr>
                <w:rFonts w:ascii="宋体" w:hAnsi="宋体" w:eastAsia="宋体"/>
                <w:b w:val="0"/>
                <w:sz w:val="21"/>
              </w:rPr>
              <w:t>-2.95%</w:t>
            </w:r>
          </w:p>
        </w:tc>
        <w:tc>
          <w:tcPr>
            <w:tcW w:type="dxa" w:w="1081"/>
          </w:tcPr>
          <w:p>
            <w:pPr>
              <w:spacing w:line="360" w:lineRule="auto" w:before="0" w:after="0"/>
              <w:jc w:val="both"/>
            </w:pPr>
            <w:r>
              <w:rPr>
                <w:rFonts w:ascii="宋体" w:hAnsi="宋体" w:eastAsia="宋体"/>
                <w:b w:val="0"/>
                <w:sz w:val="21"/>
              </w:rPr>
              <w:t>-8.21%</w:t>
            </w:r>
          </w:p>
        </w:tc>
        <w:tc>
          <w:tcPr>
            <w:tcW w:type="dxa" w:w="1081"/>
          </w:tcPr>
          <w:p>
            <w:pPr>
              <w:spacing w:line="360" w:lineRule="auto" w:before="0" w:after="0"/>
              <w:jc w:val="both"/>
            </w:pPr>
            <w:r>
              <w:rPr>
                <w:rFonts w:ascii="宋体" w:hAnsi="宋体" w:eastAsia="宋体"/>
                <w:b w:val="0"/>
                <w:sz w:val="21"/>
              </w:rPr>
              <w:t>+5.25%</w:t>
            </w:r>
          </w:p>
        </w:tc>
        <w:tc>
          <w:tcPr>
            <w:tcW w:type="dxa" w:w="1081"/>
          </w:tcPr>
          <w:p>
            <w:pPr>
              <w:spacing w:line="360" w:lineRule="auto" w:before="0" w:after="0"/>
              <w:jc w:val="both"/>
            </w:pPr>
            <w:r>
              <w:rPr>
                <w:rFonts w:ascii="宋体" w:hAnsi="宋体" w:eastAsia="宋体"/>
                <w:b w:val="0"/>
                <w:sz w:val="21"/>
              </w:rPr>
              <w:t>-4.67%</w:t>
            </w:r>
          </w:p>
        </w:tc>
        <w:tc>
          <w:tcPr>
            <w:tcW w:type="dxa" w:w="1081"/>
          </w:tcPr>
          <w:p>
            <w:pPr>
              <w:spacing w:line="360" w:lineRule="auto" w:before="0" w:after="0"/>
              <w:jc w:val="both"/>
            </w:pPr>
            <w:r>
              <w:rPr>
                <w:rFonts w:ascii="宋体" w:hAnsi="宋体" w:eastAsia="宋体"/>
                <w:b w:val="0"/>
                <w:sz w:val="21"/>
              </w:rPr>
              <w:t>33%</w:t>
            </w:r>
          </w:p>
        </w:tc>
        <w:tc>
          <w:tcPr>
            <w:tcW w:type="dxa" w:w="1081"/>
          </w:tcPr>
          <w:p>
            <w:pPr>
              <w:spacing w:line="360" w:lineRule="auto" w:before="0" w:after="0"/>
              <w:jc w:val="both"/>
            </w:pPr>
            <w:r>
              <w:rPr>
                <w:rFonts w:ascii="宋体" w:hAnsi="宋体" w:eastAsia="宋体"/>
                <w:b w:val="0"/>
                <w:sz w:val="21"/>
              </w:rPr>
              <w:t>3</w:t>
            </w:r>
          </w:p>
        </w:tc>
      </w:tr>
      <w:tr>
        <w:tc>
          <w:tcPr>
            <w:tcW w:type="dxa" w:w="1081"/>
          </w:tcPr>
          <w:p>
            <w:pPr>
              <w:spacing w:line="360" w:lineRule="auto" w:before="0" w:after="0"/>
              <w:jc w:val="both"/>
            </w:pPr>
            <w:r>
              <w:rPr>
                <w:rFonts w:ascii="宋体" w:hAnsi="宋体" w:eastAsia="宋体"/>
                <w:b w:val="0"/>
                <w:sz w:val="21"/>
              </w:rPr>
              <w:t>长江电力</w:t>
            </w:r>
          </w:p>
        </w:tc>
        <w:tc>
          <w:tcPr>
            <w:tcW w:type="dxa" w:w="1081"/>
          </w:tcPr>
          <w:p>
            <w:pPr>
              <w:spacing w:line="360" w:lineRule="auto" w:before="0" w:after="0"/>
              <w:jc w:val="both"/>
            </w:pPr>
            <w:r>
              <w:rPr>
                <w:rFonts w:ascii="宋体" w:hAnsi="宋体" w:eastAsia="宋体"/>
                <w:b w:val="0"/>
                <w:sz w:val="21"/>
              </w:rPr>
              <w:t>20/10</w:t>
            </w:r>
          </w:p>
        </w:tc>
        <w:tc>
          <w:tcPr>
            <w:tcW w:type="dxa" w:w="1081"/>
          </w:tcPr>
          <w:p>
            <w:pPr>
              <w:spacing w:line="360" w:lineRule="auto" w:before="0" w:after="0"/>
              <w:jc w:val="both"/>
            </w:pPr>
            <w:r>
              <w:rPr>
                <w:rFonts w:ascii="宋体" w:hAnsi="宋体" w:eastAsia="宋体"/>
                <w:b w:val="0"/>
                <w:sz w:val="21"/>
              </w:rPr>
              <w:t>-6.20%</w:t>
            </w:r>
          </w:p>
        </w:tc>
        <w:tc>
          <w:tcPr>
            <w:tcW w:type="dxa" w:w="1081"/>
          </w:tcPr>
          <w:p>
            <w:pPr>
              <w:spacing w:line="360" w:lineRule="auto" w:before="0" w:after="0"/>
              <w:jc w:val="both"/>
            </w:pPr>
            <w:r>
              <w:rPr>
                <w:rFonts w:ascii="宋体" w:hAnsi="宋体" w:eastAsia="宋体"/>
                <w:b w:val="0"/>
                <w:sz w:val="21"/>
              </w:rPr>
              <w:t>-5.87%</w:t>
            </w:r>
          </w:p>
        </w:tc>
        <w:tc>
          <w:tcPr>
            <w:tcW w:type="dxa" w:w="1081"/>
          </w:tcPr>
          <w:p>
            <w:pPr>
              <w:spacing w:line="360" w:lineRule="auto" w:before="0" w:after="0"/>
              <w:jc w:val="both"/>
            </w:pPr>
            <w:r>
              <w:rPr>
                <w:rFonts w:ascii="宋体" w:hAnsi="宋体" w:eastAsia="宋体"/>
                <w:b w:val="0"/>
                <w:sz w:val="21"/>
              </w:rPr>
              <w:t>-0.33%</w:t>
            </w:r>
          </w:p>
        </w:tc>
        <w:tc>
          <w:tcPr>
            <w:tcW w:type="dxa" w:w="1081"/>
          </w:tcPr>
          <w:p>
            <w:pPr>
              <w:spacing w:line="360" w:lineRule="auto" w:before="0" w:after="0"/>
              <w:jc w:val="both"/>
            </w:pPr>
            <w:r>
              <w:rPr>
                <w:rFonts w:ascii="宋体" w:hAnsi="宋体" w:eastAsia="宋体"/>
                <w:b w:val="0"/>
                <w:sz w:val="21"/>
              </w:rPr>
              <w:t>-7.41%</w:t>
            </w:r>
          </w:p>
        </w:tc>
        <w:tc>
          <w:tcPr>
            <w:tcW w:type="dxa" w:w="1081"/>
          </w:tcPr>
          <w:p>
            <w:pPr>
              <w:spacing w:line="360" w:lineRule="auto" w:before="0" w:after="0"/>
              <w:jc w:val="both"/>
            </w:pPr>
            <w:r>
              <w:rPr>
                <w:rFonts w:ascii="宋体" w:hAnsi="宋体" w:eastAsia="宋体"/>
                <w:b w:val="0"/>
                <w:sz w:val="21"/>
              </w:rPr>
              <w:t>0%</w:t>
            </w:r>
          </w:p>
        </w:tc>
        <w:tc>
          <w:tcPr>
            <w:tcW w:type="dxa" w:w="1081"/>
          </w:tcPr>
          <w:p>
            <w:pPr>
              <w:spacing w:line="360" w:lineRule="auto" w:before="0" w:after="0"/>
              <w:jc w:val="both"/>
            </w:pPr>
            <w:r>
              <w:rPr>
                <w:rFonts w:ascii="宋体" w:hAnsi="宋体" w:eastAsia="宋体"/>
                <w:b w:val="0"/>
                <w:sz w:val="21"/>
              </w:rPr>
              <w:t>3</w:t>
            </w:r>
          </w:p>
        </w:tc>
      </w:tr>
      <w:tr>
        <w:tc>
          <w:tcPr>
            <w:tcW w:type="dxa" w:w="1081"/>
          </w:tcPr>
          <w:p>
            <w:pPr>
              <w:spacing w:line="360" w:lineRule="auto" w:before="0" w:after="0"/>
              <w:jc w:val="both"/>
            </w:pPr>
            <w:r>
              <w:rPr>
                <w:rFonts w:ascii="宋体" w:hAnsi="宋体" w:eastAsia="宋体"/>
                <w:b w:val="0"/>
                <w:sz w:val="21"/>
              </w:rPr>
              <w:t>长江电力</w:t>
            </w:r>
          </w:p>
        </w:tc>
        <w:tc>
          <w:tcPr>
            <w:tcW w:type="dxa" w:w="1081"/>
          </w:tcPr>
          <w:p>
            <w:pPr>
              <w:spacing w:line="360" w:lineRule="auto" w:before="0" w:after="0"/>
              <w:jc w:val="both"/>
            </w:pPr>
            <w:r>
              <w:rPr>
                <w:rFonts w:ascii="宋体" w:hAnsi="宋体" w:eastAsia="宋体"/>
                <w:b w:val="0"/>
                <w:sz w:val="21"/>
              </w:rPr>
              <w:t>30/15</w:t>
            </w:r>
          </w:p>
        </w:tc>
        <w:tc>
          <w:tcPr>
            <w:tcW w:type="dxa" w:w="1081"/>
          </w:tcPr>
          <w:p>
            <w:pPr>
              <w:spacing w:line="360" w:lineRule="auto" w:before="0" w:after="0"/>
              <w:jc w:val="both"/>
            </w:pPr>
            <w:r>
              <w:rPr>
                <w:rFonts w:ascii="宋体" w:hAnsi="宋体" w:eastAsia="宋体"/>
                <w:b w:val="0"/>
                <w:sz w:val="21"/>
              </w:rPr>
              <w:t>-4.81%</w:t>
            </w:r>
          </w:p>
        </w:tc>
        <w:tc>
          <w:tcPr>
            <w:tcW w:type="dxa" w:w="1081"/>
          </w:tcPr>
          <w:p>
            <w:pPr>
              <w:spacing w:line="360" w:lineRule="auto" w:before="0" w:after="0"/>
              <w:jc w:val="both"/>
            </w:pPr>
            <w:r>
              <w:rPr>
                <w:rFonts w:ascii="宋体" w:hAnsi="宋体" w:eastAsia="宋体"/>
                <w:b w:val="0"/>
                <w:sz w:val="21"/>
              </w:rPr>
              <w:t>-2.92%</w:t>
            </w:r>
          </w:p>
        </w:tc>
        <w:tc>
          <w:tcPr>
            <w:tcW w:type="dxa" w:w="1081"/>
          </w:tcPr>
          <w:p>
            <w:pPr>
              <w:spacing w:line="360" w:lineRule="auto" w:before="0" w:after="0"/>
              <w:jc w:val="both"/>
            </w:pPr>
            <w:r>
              <w:rPr>
                <w:rFonts w:ascii="宋体" w:hAnsi="宋体" w:eastAsia="宋体"/>
                <w:b w:val="0"/>
                <w:sz w:val="21"/>
              </w:rPr>
              <w:t>-1.89%</w:t>
            </w:r>
          </w:p>
        </w:tc>
        <w:tc>
          <w:tcPr>
            <w:tcW w:type="dxa" w:w="1081"/>
          </w:tcPr>
          <w:p>
            <w:pPr>
              <w:spacing w:line="360" w:lineRule="auto" w:before="0" w:after="0"/>
              <w:jc w:val="both"/>
            </w:pPr>
            <w:r>
              <w:rPr>
                <w:rFonts w:ascii="宋体" w:hAnsi="宋体" w:eastAsia="宋体"/>
                <w:b w:val="0"/>
                <w:sz w:val="21"/>
              </w:rPr>
              <w:t>-4.81%</w:t>
            </w:r>
          </w:p>
        </w:tc>
        <w:tc>
          <w:tcPr>
            <w:tcW w:type="dxa" w:w="1081"/>
          </w:tcPr>
          <w:p>
            <w:pPr>
              <w:spacing w:line="360" w:lineRule="auto" w:before="0" w:after="0"/>
              <w:jc w:val="both"/>
            </w:pPr>
            <w:r>
              <w:rPr>
                <w:rFonts w:ascii="宋体" w:hAnsi="宋体" w:eastAsia="宋体"/>
                <w:b w:val="0"/>
                <w:sz w:val="21"/>
              </w:rPr>
              <w:t>0%</w:t>
            </w:r>
          </w:p>
        </w:tc>
        <w:tc>
          <w:tcPr>
            <w:tcW w:type="dxa" w:w="1081"/>
          </w:tcPr>
          <w:p>
            <w:pPr>
              <w:spacing w:line="360" w:lineRule="auto" w:before="0" w:after="0"/>
              <w:jc w:val="both"/>
            </w:pPr>
            <w:r>
              <w:rPr>
                <w:rFonts w:ascii="宋体" w:hAnsi="宋体" w:eastAsia="宋体"/>
                <w:b w:val="0"/>
                <w:sz w:val="21"/>
              </w:rPr>
              <w:t>2</w:t>
            </w:r>
          </w:p>
        </w:tc>
      </w:tr>
      <w:tr>
        <w:tc>
          <w:tcPr>
            <w:tcW w:type="dxa" w:w="1081"/>
          </w:tcPr>
          <w:p>
            <w:pPr>
              <w:spacing w:line="360" w:lineRule="auto" w:before="0" w:after="0"/>
              <w:jc w:val="both"/>
            </w:pPr>
            <w:r>
              <w:rPr>
                <w:rFonts w:ascii="宋体" w:hAnsi="宋体" w:eastAsia="宋体"/>
                <w:b w:val="0"/>
                <w:sz w:val="21"/>
              </w:rPr>
              <w:t>长江电力</w:t>
            </w:r>
          </w:p>
        </w:tc>
        <w:tc>
          <w:tcPr>
            <w:tcW w:type="dxa" w:w="1081"/>
          </w:tcPr>
          <w:p>
            <w:pPr>
              <w:spacing w:line="360" w:lineRule="auto" w:before="0" w:after="0"/>
              <w:jc w:val="both"/>
            </w:pPr>
            <w:r>
              <w:rPr>
                <w:rFonts w:ascii="宋体" w:hAnsi="宋体" w:eastAsia="宋体"/>
                <w:b w:val="0"/>
                <w:sz w:val="21"/>
              </w:rPr>
              <w:t>55/20</w:t>
            </w:r>
          </w:p>
        </w:tc>
        <w:tc>
          <w:tcPr>
            <w:tcW w:type="dxa" w:w="1081"/>
          </w:tcPr>
          <w:p>
            <w:pPr>
              <w:spacing w:line="360" w:lineRule="auto" w:before="0" w:after="0"/>
              <w:jc w:val="both"/>
            </w:pPr>
            <w:r>
              <w:rPr>
                <w:rFonts w:ascii="宋体" w:hAnsi="宋体" w:eastAsia="宋体"/>
                <w:b w:val="0"/>
                <w:sz w:val="21"/>
              </w:rPr>
              <w:t>-4.81%</w:t>
            </w:r>
          </w:p>
        </w:tc>
        <w:tc>
          <w:tcPr>
            <w:tcW w:type="dxa" w:w="1081"/>
          </w:tcPr>
          <w:p>
            <w:pPr>
              <w:spacing w:line="360" w:lineRule="auto" w:before="0" w:after="0"/>
              <w:jc w:val="both"/>
            </w:pPr>
            <w:r>
              <w:rPr>
                <w:rFonts w:ascii="宋体" w:hAnsi="宋体" w:eastAsia="宋体"/>
                <w:b w:val="0"/>
                <w:sz w:val="21"/>
              </w:rPr>
              <w:t>-2.81%</w:t>
            </w:r>
          </w:p>
        </w:tc>
        <w:tc>
          <w:tcPr>
            <w:tcW w:type="dxa" w:w="1081"/>
          </w:tcPr>
          <w:p>
            <w:pPr>
              <w:spacing w:line="360" w:lineRule="auto" w:before="0" w:after="0"/>
              <w:jc w:val="both"/>
            </w:pPr>
            <w:r>
              <w:rPr>
                <w:rFonts w:ascii="宋体" w:hAnsi="宋体" w:eastAsia="宋体"/>
                <w:b w:val="0"/>
                <w:sz w:val="21"/>
              </w:rPr>
              <w:t>-2.00%</w:t>
            </w:r>
          </w:p>
        </w:tc>
        <w:tc>
          <w:tcPr>
            <w:tcW w:type="dxa" w:w="1081"/>
          </w:tcPr>
          <w:p>
            <w:pPr>
              <w:spacing w:line="360" w:lineRule="auto" w:before="0" w:after="0"/>
              <w:jc w:val="both"/>
            </w:pPr>
            <w:r>
              <w:rPr>
                <w:rFonts w:ascii="宋体" w:hAnsi="宋体" w:eastAsia="宋体"/>
                <w:b w:val="0"/>
                <w:sz w:val="21"/>
              </w:rPr>
              <w:t>-4.81%</w:t>
            </w:r>
          </w:p>
        </w:tc>
        <w:tc>
          <w:tcPr>
            <w:tcW w:type="dxa" w:w="1081"/>
          </w:tcPr>
          <w:p>
            <w:pPr>
              <w:spacing w:line="360" w:lineRule="auto" w:before="0" w:after="0"/>
              <w:jc w:val="both"/>
            </w:pPr>
            <w:r>
              <w:rPr>
                <w:rFonts w:ascii="宋体" w:hAnsi="宋体" w:eastAsia="宋体"/>
                <w:b w:val="0"/>
                <w:sz w:val="21"/>
              </w:rPr>
              <w:t>0%</w:t>
            </w:r>
          </w:p>
        </w:tc>
        <w:tc>
          <w:tcPr>
            <w:tcW w:type="dxa" w:w="1081"/>
          </w:tcPr>
          <w:p>
            <w:pPr>
              <w:spacing w:line="360" w:lineRule="auto" w:before="0" w:after="0"/>
              <w:jc w:val="both"/>
            </w:pPr>
            <w:r>
              <w:rPr>
                <w:rFonts w:ascii="宋体" w:hAnsi="宋体" w:eastAsia="宋体"/>
                <w:b w:val="0"/>
                <w:sz w:val="21"/>
              </w:rPr>
              <w:t>2</w:t>
            </w:r>
          </w:p>
        </w:tc>
      </w:tr>
      <w:tr>
        <w:tc>
          <w:tcPr>
            <w:tcW w:type="dxa" w:w="1081"/>
          </w:tcPr>
          <w:p>
            <w:pPr>
              <w:spacing w:line="360" w:lineRule="auto" w:before="0" w:after="0"/>
              <w:jc w:val="both"/>
            </w:pPr>
            <w:r>
              <w:rPr>
                <w:rFonts w:ascii="宋体" w:hAnsi="宋体" w:eastAsia="宋体"/>
                <w:b w:val="0"/>
                <w:sz w:val="21"/>
              </w:rPr>
              <w:t>贵州茅台</w:t>
            </w:r>
          </w:p>
        </w:tc>
        <w:tc>
          <w:tcPr>
            <w:tcW w:type="dxa" w:w="1081"/>
          </w:tcPr>
          <w:p>
            <w:pPr>
              <w:spacing w:line="360" w:lineRule="auto" w:before="0" w:after="0"/>
              <w:jc w:val="both"/>
            </w:pPr>
            <w:r>
              <w:rPr>
                <w:rFonts w:ascii="宋体" w:hAnsi="宋体" w:eastAsia="宋体"/>
                <w:b w:val="0"/>
                <w:sz w:val="21"/>
              </w:rPr>
              <w:t>5/3</w:t>
            </w:r>
          </w:p>
        </w:tc>
        <w:tc>
          <w:tcPr>
            <w:tcW w:type="dxa" w:w="1081"/>
          </w:tcPr>
          <w:p>
            <w:pPr>
              <w:spacing w:line="360" w:lineRule="auto" w:before="0" w:after="0"/>
              <w:jc w:val="both"/>
            </w:pPr>
            <w:r>
              <w:rPr>
                <w:rFonts w:ascii="宋体" w:hAnsi="宋体" w:eastAsia="宋体"/>
                <w:b w:val="0"/>
                <w:sz w:val="21"/>
              </w:rPr>
              <w:t>-13.12%</w:t>
            </w:r>
          </w:p>
        </w:tc>
        <w:tc>
          <w:tcPr>
            <w:tcW w:type="dxa" w:w="1081"/>
          </w:tcPr>
          <w:p>
            <w:pPr>
              <w:spacing w:line="360" w:lineRule="auto" w:before="0" w:after="0"/>
              <w:jc w:val="both"/>
            </w:pPr>
            <w:r>
              <w:rPr>
                <w:rFonts w:ascii="宋体" w:hAnsi="宋体" w:eastAsia="宋体"/>
                <w:b w:val="0"/>
                <w:sz w:val="21"/>
              </w:rPr>
              <w:t>-14.92%</w:t>
            </w:r>
          </w:p>
        </w:tc>
        <w:tc>
          <w:tcPr>
            <w:tcW w:type="dxa" w:w="1081"/>
          </w:tcPr>
          <w:p>
            <w:pPr>
              <w:spacing w:line="360" w:lineRule="auto" w:before="0" w:after="0"/>
              <w:jc w:val="both"/>
            </w:pPr>
            <w:r>
              <w:rPr>
                <w:rFonts w:ascii="宋体" w:hAnsi="宋体" w:eastAsia="宋体"/>
                <w:b w:val="0"/>
                <w:sz w:val="21"/>
              </w:rPr>
              <w:t>+1.80%</w:t>
            </w:r>
          </w:p>
        </w:tc>
        <w:tc>
          <w:tcPr>
            <w:tcW w:type="dxa" w:w="1081"/>
          </w:tcPr>
          <w:p>
            <w:pPr>
              <w:spacing w:line="360" w:lineRule="auto" w:before="0" w:after="0"/>
              <w:jc w:val="both"/>
            </w:pPr>
            <w:r>
              <w:rPr>
                <w:rFonts w:ascii="宋体" w:hAnsi="宋体" w:eastAsia="宋体"/>
                <w:b w:val="0"/>
                <w:sz w:val="21"/>
              </w:rPr>
              <w:t>-14.37%</w:t>
            </w:r>
          </w:p>
        </w:tc>
        <w:tc>
          <w:tcPr>
            <w:tcW w:type="dxa" w:w="1081"/>
          </w:tcPr>
          <w:p>
            <w:pPr>
              <w:spacing w:line="360" w:lineRule="auto" w:before="0" w:after="0"/>
              <w:jc w:val="both"/>
            </w:pPr>
            <w:r>
              <w:rPr>
                <w:rFonts w:ascii="宋体" w:hAnsi="宋体" w:eastAsia="宋体"/>
                <w:b w:val="0"/>
                <w:sz w:val="21"/>
              </w:rPr>
              <w:t>17%</w:t>
            </w:r>
          </w:p>
        </w:tc>
        <w:tc>
          <w:tcPr>
            <w:tcW w:type="dxa" w:w="1081"/>
          </w:tcPr>
          <w:p>
            <w:pPr>
              <w:spacing w:line="360" w:lineRule="auto" w:before="0" w:after="0"/>
              <w:jc w:val="both"/>
            </w:pPr>
            <w:r>
              <w:rPr>
                <w:rFonts w:ascii="宋体" w:hAnsi="宋体" w:eastAsia="宋体"/>
                <w:b w:val="0"/>
                <w:sz w:val="21"/>
              </w:rPr>
              <w:t>12</w:t>
            </w:r>
          </w:p>
        </w:tc>
      </w:tr>
      <w:tr>
        <w:tc>
          <w:tcPr>
            <w:tcW w:type="dxa" w:w="1081"/>
          </w:tcPr>
          <w:p>
            <w:pPr>
              <w:spacing w:line="360" w:lineRule="auto" w:before="0" w:after="0"/>
              <w:jc w:val="both"/>
            </w:pPr>
            <w:r>
              <w:rPr>
                <w:rFonts w:ascii="宋体" w:hAnsi="宋体" w:eastAsia="宋体"/>
                <w:b w:val="0"/>
                <w:sz w:val="21"/>
              </w:rPr>
              <w:t>贵州茅台</w:t>
            </w:r>
          </w:p>
        </w:tc>
        <w:tc>
          <w:tcPr>
            <w:tcW w:type="dxa" w:w="1081"/>
          </w:tcPr>
          <w:p>
            <w:pPr>
              <w:spacing w:line="360" w:lineRule="auto" w:before="0" w:after="0"/>
              <w:jc w:val="both"/>
            </w:pPr>
            <w:r>
              <w:rPr>
                <w:rFonts w:ascii="宋体" w:hAnsi="宋体" w:eastAsia="宋体"/>
                <w:b w:val="0"/>
                <w:sz w:val="21"/>
              </w:rPr>
              <w:t>5/5</w:t>
            </w:r>
          </w:p>
        </w:tc>
        <w:tc>
          <w:tcPr>
            <w:tcW w:type="dxa" w:w="1081"/>
          </w:tcPr>
          <w:p>
            <w:pPr>
              <w:spacing w:line="360" w:lineRule="auto" w:before="0" w:after="0"/>
              <w:jc w:val="both"/>
            </w:pPr>
            <w:r>
              <w:rPr>
                <w:rFonts w:ascii="宋体" w:hAnsi="宋体" w:eastAsia="宋体"/>
                <w:b w:val="0"/>
                <w:sz w:val="21"/>
              </w:rPr>
              <w:t>-15.98%</w:t>
            </w:r>
          </w:p>
        </w:tc>
        <w:tc>
          <w:tcPr>
            <w:tcW w:type="dxa" w:w="1081"/>
          </w:tcPr>
          <w:p>
            <w:pPr>
              <w:spacing w:line="360" w:lineRule="auto" w:before="0" w:after="0"/>
              <w:jc w:val="both"/>
            </w:pPr>
            <w:r>
              <w:rPr>
                <w:rFonts w:ascii="宋体" w:hAnsi="宋体" w:eastAsia="宋体"/>
                <w:b w:val="0"/>
                <w:sz w:val="21"/>
              </w:rPr>
              <w:t>-14.92%</w:t>
            </w:r>
          </w:p>
        </w:tc>
        <w:tc>
          <w:tcPr>
            <w:tcW w:type="dxa" w:w="1081"/>
          </w:tcPr>
          <w:p>
            <w:pPr>
              <w:spacing w:line="360" w:lineRule="auto" w:before="0" w:after="0"/>
              <w:jc w:val="both"/>
            </w:pPr>
            <w:r>
              <w:rPr>
                <w:rFonts w:ascii="宋体" w:hAnsi="宋体" w:eastAsia="宋体"/>
                <w:b w:val="0"/>
                <w:sz w:val="21"/>
              </w:rPr>
              <w:t>-1.06%</w:t>
            </w:r>
          </w:p>
        </w:tc>
        <w:tc>
          <w:tcPr>
            <w:tcW w:type="dxa" w:w="1081"/>
          </w:tcPr>
          <w:p>
            <w:pPr>
              <w:spacing w:line="360" w:lineRule="auto" w:before="0" w:after="0"/>
              <w:jc w:val="both"/>
            </w:pPr>
            <w:r>
              <w:rPr>
                <w:rFonts w:ascii="宋体" w:hAnsi="宋体" w:eastAsia="宋体"/>
                <w:b w:val="0"/>
                <w:sz w:val="21"/>
              </w:rPr>
              <w:t>-17.19%</w:t>
            </w:r>
          </w:p>
        </w:tc>
        <w:tc>
          <w:tcPr>
            <w:tcW w:type="dxa" w:w="1081"/>
          </w:tcPr>
          <w:p>
            <w:pPr>
              <w:spacing w:line="360" w:lineRule="auto" w:before="0" w:after="0"/>
              <w:jc w:val="both"/>
            </w:pPr>
            <w:r>
              <w:rPr>
                <w:rFonts w:ascii="宋体" w:hAnsi="宋体" w:eastAsia="宋体"/>
                <w:b w:val="0"/>
                <w:sz w:val="21"/>
              </w:rPr>
              <w:t>18%</w:t>
            </w:r>
          </w:p>
        </w:tc>
        <w:tc>
          <w:tcPr>
            <w:tcW w:type="dxa" w:w="1081"/>
          </w:tcPr>
          <w:p>
            <w:pPr>
              <w:spacing w:line="360" w:lineRule="auto" w:before="0" w:after="0"/>
              <w:jc w:val="both"/>
            </w:pPr>
            <w:r>
              <w:rPr>
                <w:rFonts w:ascii="宋体" w:hAnsi="宋体" w:eastAsia="宋体"/>
                <w:b w:val="0"/>
                <w:sz w:val="21"/>
              </w:rPr>
              <w:t>11</w:t>
            </w:r>
          </w:p>
        </w:tc>
      </w:tr>
      <w:tr>
        <w:tc>
          <w:tcPr>
            <w:tcW w:type="dxa" w:w="1081"/>
          </w:tcPr>
          <w:p>
            <w:pPr>
              <w:spacing w:line="360" w:lineRule="auto" w:before="0" w:after="0"/>
              <w:jc w:val="both"/>
            </w:pPr>
            <w:r>
              <w:rPr>
                <w:rFonts w:ascii="宋体" w:hAnsi="宋体" w:eastAsia="宋体"/>
                <w:b w:val="0"/>
                <w:sz w:val="21"/>
              </w:rPr>
              <w:t>贵州茅台</w:t>
            </w:r>
          </w:p>
        </w:tc>
        <w:tc>
          <w:tcPr>
            <w:tcW w:type="dxa" w:w="1081"/>
          </w:tcPr>
          <w:p>
            <w:pPr>
              <w:spacing w:line="360" w:lineRule="auto" w:before="0" w:after="0"/>
              <w:jc w:val="both"/>
            </w:pPr>
            <w:r>
              <w:rPr>
                <w:rFonts w:ascii="宋体" w:hAnsi="宋体" w:eastAsia="宋体"/>
                <w:b w:val="0"/>
                <w:sz w:val="21"/>
              </w:rPr>
              <w:t>10/5</w:t>
            </w:r>
          </w:p>
        </w:tc>
        <w:tc>
          <w:tcPr>
            <w:tcW w:type="dxa" w:w="1081"/>
          </w:tcPr>
          <w:p>
            <w:pPr>
              <w:spacing w:line="360" w:lineRule="auto" w:before="0" w:after="0"/>
              <w:jc w:val="both"/>
            </w:pPr>
            <w:r>
              <w:rPr>
                <w:rFonts w:ascii="宋体" w:hAnsi="宋体" w:eastAsia="宋体"/>
                <w:b w:val="0"/>
                <w:sz w:val="21"/>
              </w:rPr>
              <w:t>-8.59%</w:t>
            </w:r>
          </w:p>
        </w:tc>
        <w:tc>
          <w:tcPr>
            <w:tcW w:type="dxa" w:w="1081"/>
          </w:tcPr>
          <w:p>
            <w:pPr>
              <w:spacing w:line="360" w:lineRule="auto" w:before="0" w:after="0"/>
              <w:jc w:val="both"/>
            </w:pPr>
            <w:r>
              <w:rPr>
                <w:rFonts w:ascii="宋体" w:hAnsi="宋体" w:eastAsia="宋体"/>
                <w:b w:val="0"/>
                <w:sz w:val="21"/>
              </w:rPr>
              <w:t>-19.21%</w:t>
            </w:r>
          </w:p>
        </w:tc>
        <w:tc>
          <w:tcPr>
            <w:tcW w:type="dxa" w:w="1081"/>
          </w:tcPr>
          <w:p>
            <w:pPr>
              <w:spacing w:line="360" w:lineRule="auto" w:before="0" w:after="0"/>
              <w:jc w:val="both"/>
            </w:pPr>
            <w:r>
              <w:rPr>
                <w:rFonts w:ascii="宋体" w:hAnsi="宋体" w:eastAsia="宋体"/>
                <w:b w:val="0"/>
                <w:sz w:val="21"/>
              </w:rPr>
              <w:t>+10.62%</w:t>
            </w:r>
          </w:p>
        </w:tc>
        <w:tc>
          <w:tcPr>
            <w:tcW w:type="dxa" w:w="1081"/>
          </w:tcPr>
          <w:p>
            <w:pPr>
              <w:spacing w:line="360" w:lineRule="auto" w:before="0" w:after="0"/>
              <w:jc w:val="both"/>
            </w:pPr>
            <w:r>
              <w:rPr>
                <w:rFonts w:ascii="宋体" w:hAnsi="宋体" w:eastAsia="宋体"/>
                <w:b w:val="0"/>
                <w:sz w:val="21"/>
              </w:rPr>
              <w:t>-8.88%</w:t>
            </w:r>
          </w:p>
        </w:tc>
        <w:tc>
          <w:tcPr>
            <w:tcW w:type="dxa" w:w="1081"/>
          </w:tcPr>
          <w:p>
            <w:pPr>
              <w:spacing w:line="360" w:lineRule="auto" w:before="0" w:after="0"/>
              <w:jc w:val="both"/>
            </w:pPr>
            <w:r>
              <w:rPr>
                <w:rFonts w:ascii="宋体" w:hAnsi="宋体" w:eastAsia="宋体"/>
                <w:b w:val="0"/>
                <w:sz w:val="21"/>
              </w:rPr>
              <w:t>17%</w:t>
            </w:r>
          </w:p>
        </w:tc>
        <w:tc>
          <w:tcPr>
            <w:tcW w:type="dxa" w:w="1081"/>
          </w:tcPr>
          <w:p>
            <w:pPr>
              <w:spacing w:line="360" w:lineRule="auto" w:before="0" w:after="0"/>
              <w:jc w:val="both"/>
            </w:pPr>
            <w:r>
              <w:rPr>
                <w:rFonts w:ascii="宋体" w:hAnsi="宋体" w:eastAsia="宋体"/>
                <w:b w:val="0"/>
                <w:sz w:val="21"/>
              </w:rPr>
              <w:t>6</w:t>
            </w:r>
          </w:p>
        </w:tc>
      </w:tr>
      <w:tr>
        <w:tc>
          <w:tcPr>
            <w:tcW w:type="dxa" w:w="1081"/>
          </w:tcPr>
          <w:p>
            <w:pPr>
              <w:spacing w:line="360" w:lineRule="auto" w:before="0" w:after="0"/>
              <w:jc w:val="both"/>
            </w:pPr>
            <w:r>
              <w:rPr>
                <w:rFonts w:ascii="宋体" w:hAnsi="宋体" w:eastAsia="宋体"/>
                <w:b w:val="0"/>
                <w:sz w:val="21"/>
              </w:rPr>
              <w:t>贵州茅台</w:t>
            </w:r>
          </w:p>
        </w:tc>
        <w:tc>
          <w:tcPr>
            <w:tcW w:type="dxa" w:w="1081"/>
          </w:tcPr>
          <w:p>
            <w:pPr>
              <w:spacing w:line="360" w:lineRule="auto" w:before="0" w:after="0"/>
              <w:jc w:val="both"/>
            </w:pPr>
            <w:r>
              <w:rPr>
                <w:rFonts w:ascii="宋体" w:hAnsi="宋体" w:eastAsia="宋体"/>
                <w:b w:val="0"/>
                <w:sz w:val="21"/>
              </w:rPr>
              <w:t>10/10</w:t>
            </w:r>
          </w:p>
        </w:tc>
        <w:tc>
          <w:tcPr>
            <w:tcW w:type="dxa" w:w="1081"/>
          </w:tcPr>
          <w:p>
            <w:pPr>
              <w:spacing w:line="360" w:lineRule="auto" w:before="0" w:after="0"/>
              <w:jc w:val="both"/>
            </w:pPr>
            <w:r>
              <w:rPr>
                <w:rFonts w:ascii="宋体" w:hAnsi="宋体" w:eastAsia="宋体"/>
                <w:b w:val="0"/>
                <w:sz w:val="21"/>
              </w:rPr>
              <w:t>-11.31%</w:t>
            </w:r>
          </w:p>
        </w:tc>
        <w:tc>
          <w:tcPr>
            <w:tcW w:type="dxa" w:w="1081"/>
          </w:tcPr>
          <w:p>
            <w:pPr>
              <w:spacing w:line="360" w:lineRule="auto" w:before="0" w:after="0"/>
              <w:jc w:val="both"/>
            </w:pPr>
            <w:r>
              <w:rPr>
                <w:rFonts w:ascii="宋体" w:hAnsi="宋体" w:eastAsia="宋体"/>
                <w:b w:val="0"/>
                <w:sz w:val="21"/>
              </w:rPr>
              <w:t>-19.21%</w:t>
            </w:r>
          </w:p>
        </w:tc>
        <w:tc>
          <w:tcPr>
            <w:tcW w:type="dxa" w:w="1081"/>
          </w:tcPr>
          <w:p>
            <w:pPr>
              <w:spacing w:line="360" w:lineRule="auto" w:before="0" w:after="0"/>
              <w:jc w:val="both"/>
            </w:pPr>
            <w:r>
              <w:rPr>
                <w:rFonts w:ascii="宋体" w:hAnsi="宋体" w:eastAsia="宋体"/>
                <w:b w:val="0"/>
                <w:sz w:val="21"/>
              </w:rPr>
              <w:t>+7.90%</w:t>
            </w:r>
          </w:p>
        </w:tc>
        <w:tc>
          <w:tcPr>
            <w:tcW w:type="dxa" w:w="1081"/>
          </w:tcPr>
          <w:p>
            <w:pPr>
              <w:spacing w:line="360" w:lineRule="auto" w:before="0" w:after="0"/>
              <w:jc w:val="both"/>
            </w:pPr>
            <w:r>
              <w:rPr>
                <w:rFonts w:ascii="宋体" w:hAnsi="宋体" w:eastAsia="宋体"/>
                <w:b w:val="0"/>
                <w:sz w:val="21"/>
              </w:rPr>
              <w:t>-11.31%</w:t>
            </w:r>
          </w:p>
        </w:tc>
        <w:tc>
          <w:tcPr>
            <w:tcW w:type="dxa" w:w="1081"/>
          </w:tcPr>
          <w:p>
            <w:pPr>
              <w:spacing w:line="360" w:lineRule="auto" w:before="0" w:after="0"/>
              <w:jc w:val="both"/>
            </w:pPr>
            <w:r>
              <w:rPr>
                <w:rFonts w:ascii="宋体" w:hAnsi="宋体" w:eastAsia="宋体"/>
                <w:b w:val="0"/>
                <w:sz w:val="21"/>
              </w:rPr>
              <w:t>17%</w:t>
            </w:r>
          </w:p>
        </w:tc>
        <w:tc>
          <w:tcPr>
            <w:tcW w:type="dxa" w:w="1081"/>
          </w:tcPr>
          <w:p>
            <w:pPr>
              <w:spacing w:line="360" w:lineRule="auto" w:before="0" w:after="0"/>
              <w:jc w:val="both"/>
            </w:pPr>
            <w:r>
              <w:rPr>
                <w:rFonts w:ascii="宋体" w:hAnsi="宋体" w:eastAsia="宋体"/>
                <w:b w:val="0"/>
                <w:sz w:val="21"/>
              </w:rPr>
              <w:t>6</w:t>
            </w:r>
          </w:p>
        </w:tc>
      </w:tr>
      <w:tr>
        <w:tc>
          <w:tcPr>
            <w:tcW w:type="dxa" w:w="1081"/>
          </w:tcPr>
          <w:p>
            <w:pPr>
              <w:spacing w:line="360" w:lineRule="auto" w:before="0" w:after="0"/>
              <w:jc w:val="both"/>
            </w:pPr>
            <w:r>
              <w:rPr>
                <w:rFonts w:ascii="宋体" w:hAnsi="宋体" w:eastAsia="宋体"/>
                <w:b w:val="0"/>
                <w:sz w:val="21"/>
              </w:rPr>
              <w:t>贵州茅台</w:t>
            </w:r>
          </w:p>
        </w:tc>
        <w:tc>
          <w:tcPr>
            <w:tcW w:type="dxa" w:w="1081"/>
          </w:tcPr>
          <w:p>
            <w:pPr>
              <w:spacing w:line="360" w:lineRule="auto" w:before="0" w:after="0"/>
              <w:jc w:val="both"/>
            </w:pPr>
            <w:r>
              <w:rPr>
                <w:rFonts w:ascii="宋体" w:hAnsi="宋体" w:eastAsia="宋体"/>
                <w:b w:val="0"/>
                <w:sz w:val="21"/>
              </w:rPr>
              <w:t>15/7</w:t>
            </w:r>
          </w:p>
        </w:tc>
        <w:tc>
          <w:tcPr>
            <w:tcW w:type="dxa" w:w="1081"/>
          </w:tcPr>
          <w:p>
            <w:pPr>
              <w:spacing w:line="360" w:lineRule="auto" w:before="0" w:after="0"/>
              <w:jc w:val="both"/>
            </w:pPr>
            <w:r>
              <w:rPr>
                <w:rFonts w:ascii="宋体" w:hAnsi="宋体" w:eastAsia="宋体"/>
                <w:b w:val="0"/>
                <w:sz w:val="21"/>
              </w:rPr>
              <w:t>-5.72%</w:t>
            </w:r>
          </w:p>
        </w:tc>
        <w:tc>
          <w:tcPr>
            <w:tcW w:type="dxa" w:w="1081"/>
          </w:tcPr>
          <w:p>
            <w:pPr>
              <w:spacing w:line="360" w:lineRule="auto" w:before="0" w:after="0"/>
              <w:jc w:val="both"/>
            </w:pPr>
            <w:r>
              <w:rPr>
                <w:rFonts w:ascii="宋体" w:hAnsi="宋体" w:eastAsia="宋体"/>
                <w:b w:val="0"/>
                <w:sz w:val="21"/>
              </w:rPr>
              <w:t>-15.24%</w:t>
            </w:r>
          </w:p>
        </w:tc>
        <w:tc>
          <w:tcPr>
            <w:tcW w:type="dxa" w:w="1081"/>
          </w:tcPr>
          <w:p>
            <w:pPr>
              <w:spacing w:line="360" w:lineRule="auto" w:before="0" w:after="0"/>
              <w:jc w:val="both"/>
            </w:pPr>
            <w:r>
              <w:rPr>
                <w:rFonts w:ascii="宋体" w:hAnsi="宋体" w:eastAsia="宋体"/>
                <w:b w:val="0"/>
                <w:sz w:val="21"/>
              </w:rPr>
              <w:t>+9.53%</w:t>
            </w:r>
          </w:p>
        </w:tc>
        <w:tc>
          <w:tcPr>
            <w:tcW w:type="dxa" w:w="1081"/>
          </w:tcPr>
          <w:p>
            <w:pPr>
              <w:spacing w:line="360" w:lineRule="auto" w:before="0" w:after="0"/>
              <w:jc w:val="both"/>
            </w:pPr>
            <w:r>
              <w:rPr>
                <w:rFonts w:ascii="宋体" w:hAnsi="宋体" w:eastAsia="宋体"/>
                <w:b w:val="0"/>
                <w:sz w:val="21"/>
              </w:rPr>
              <w:t>-6.67%</w:t>
            </w:r>
          </w:p>
        </w:tc>
        <w:tc>
          <w:tcPr>
            <w:tcW w:type="dxa" w:w="1081"/>
          </w:tcPr>
          <w:p>
            <w:pPr>
              <w:spacing w:line="360" w:lineRule="auto" w:before="0" w:after="0"/>
              <w:jc w:val="both"/>
            </w:pPr>
            <w:r>
              <w:rPr>
                <w:rFonts w:ascii="宋体" w:hAnsi="宋体" w:eastAsia="宋体"/>
                <w:b w:val="0"/>
                <w:sz w:val="21"/>
              </w:rPr>
              <w:t>33%</w:t>
            </w:r>
          </w:p>
        </w:tc>
        <w:tc>
          <w:tcPr>
            <w:tcW w:type="dxa" w:w="1081"/>
          </w:tcPr>
          <w:p>
            <w:pPr>
              <w:spacing w:line="360" w:lineRule="auto" w:before="0" w:after="0"/>
              <w:jc w:val="both"/>
            </w:pPr>
            <w:r>
              <w:rPr>
                <w:rFonts w:ascii="宋体" w:hAnsi="宋体" w:eastAsia="宋体"/>
                <w:b w:val="0"/>
                <w:sz w:val="21"/>
              </w:rPr>
              <w:t>3</w:t>
            </w:r>
          </w:p>
        </w:tc>
      </w:tr>
      <w:tr>
        <w:tc>
          <w:tcPr>
            <w:tcW w:type="dxa" w:w="1081"/>
          </w:tcPr>
          <w:p>
            <w:pPr>
              <w:spacing w:line="360" w:lineRule="auto" w:before="0" w:after="0"/>
              <w:jc w:val="both"/>
            </w:pPr>
            <w:r>
              <w:rPr>
                <w:rFonts w:ascii="宋体" w:hAnsi="宋体" w:eastAsia="宋体"/>
                <w:b w:val="0"/>
                <w:sz w:val="21"/>
              </w:rPr>
              <w:t>贵州茅台</w:t>
            </w:r>
          </w:p>
        </w:tc>
        <w:tc>
          <w:tcPr>
            <w:tcW w:type="dxa" w:w="1081"/>
          </w:tcPr>
          <w:p>
            <w:pPr>
              <w:spacing w:line="360" w:lineRule="auto" w:before="0" w:after="0"/>
              <w:jc w:val="both"/>
            </w:pPr>
            <w:r>
              <w:rPr>
                <w:rFonts w:ascii="宋体" w:hAnsi="宋体" w:eastAsia="宋体"/>
                <w:b w:val="0"/>
                <w:sz w:val="21"/>
              </w:rPr>
              <w:t>20/10</w:t>
            </w:r>
          </w:p>
        </w:tc>
        <w:tc>
          <w:tcPr>
            <w:tcW w:type="dxa" w:w="1081"/>
          </w:tcPr>
          <w:p>
            <w:pPr>
              <w:spacing w:line="360" w:lineRule="auto" w:before="0" w:after="0"/>
              <w:jc w:val="both"/>
            </w:pPr>
            <w:r>
              <w:rPr>
                <w:rFonts w:ascii="宋体" w:hAnsi="宋体" w:eastAsia="宋体"/>
                <w:b w:val="0"/>
                <w:sz w:val="21"/>
              </w:rPr>
              <w:t>-5.47%</w:t>
            </w:r>
          </w:p>
        </w:tc>
        <w:tc>
          <w:tcPr>
            <w:tcW w:type="dxa" w:w="1081"/>
          </w:tcPr>
          <w:p>
            <w:pPr>
              <w:spacing w:line="360" w:lineRule="auto" w:before="0" w:after="0"/>
              <w:jc w:val="both"/>
            </w:pPr>
            <w:r>
              <w:rPr>
                <w:rFonts w:ascii="宋体" w:hAnsi="宋体" w:eastAsia="宋体"/>
                <w:b w:val="0"/>
                <w:sz w:val="21"/>
              </w:rPr>
              <w:t>-15.28%</w:t>
            </w:r>
          </w:p>
        </w:tc>
        <w:tc>
          <w:tcPr>
            <w:tcW w:type="dxa" w:w="1081"/>
          </w:tcPr>
          <w:p>
            <w:pPr>
              <w:spacing w:line="360" w:lineRule="auto" w:before="0" w:after="0"/>
              <w:jc w:val="both"/>
            </w:pPr>
            <w:r>
              <w:rPr>
                <w:rFonts w:ascii="宋体" w:hAnsi="宋体" w:eastAsia="宋体"/>
                <w:b w:val="0"/>
                <w:sz w:val="21"/>
              </w:rPr>
              <w:t>+9.81%</w:t>
            </w:r>
          </w:p>
        </w:tc>
        <w:tc>
          <w:tcPr>
            <w:tcW w:type="dxa" w:w="1081"/>
          </w:tcPr>
          <w:p>
            <w:pPr>
              <w:spacing w:line="360" w:lineRule="auto" w:before="0" w:after="0"/>
              <w:jc w:val="both"/>
            </w:pPr>
            <w:r>
              <w:rPr>
                <w:rFonts w:ascii="宋体" w:hAnsi="宋体" w:eastAsia="宋体"/>
                <w:b w:val="0"/>
                <w:sz w:val="21"/>
              </w:rPr>
              <w:t>-6.94%</w:t>
            </w:r>
          </w:p>
        </w:tc>
        <w:tc>
          <w:tcPr>
            <w:tcW w:type="dxa" w:w="1081"/>
          </w:tcPr>
          <w:p>
            <w:pPr>
              <w:spacing w:line="360" w:lineRule="auto" w:before="0" w:after="0"/>
              <w:jc w:val="both"/>
            </w:pPr>
            <w:r>
              <w:rPr>
                <w:rFonts w:ascii="宋体" w:hAnsi="宋体" w:eastAsia="宋体"/>
                <w:b w:val="0"/>
                <w:sz w:val="21"/>
              </w:rPr>
              <w:t>33%</w:t>
            </w:r>
          </w:p>
        </w:tc>
        <w:tc>
          <w:tcPr>
            <w:tcW w:type="dxa" w:w="1081"/>
          </w:tcPr>
          <w:p>
            <w:pPr>
              <w:spacing w:line="360" w:lineRule="auto" w:before="0" w:after="0"/>
              <w:jc w:val="both"/>
            </w:pPr>
            <w:r>
              <w:rPr>
                <w:rFonts w:ascii="宋体" w:hAnsi="宋体" w:eastAsia="宋体"/>
                <w:b w:val="0"/>
                <w:sz w:val="21"/>
              </w:rPr>
              <w:t>3</w:t>
            </w:r>
          </w:p>
        </w:tc>
      </w:tr>
      <w:tr>
        <w:tc>
          <w:tcPr>
            <w:tcW w:type="dxa" w:w="1081"/>
          </w:tcPr>
          <w:p>
            <w:pPr>
              <w:spacing w:line="360" w:lineRule="auto" w:before="0" w:after="0"/>
              <w:jc w:val="both"/>
            </w:pPr>
            <w:r>
              <w:rPr>
                <w:rFonts w:ascii="宋体" w:hAnsi="宋体" w:eastAsia="宋体"/>
                <w:b w:val="0"/>
                <w:sz w:val="21"/>
              </w:rPr>
              <w:t>贵州茅台</w:t>
            </w:r>
          </w:p>
        </w:tc>
        <w:tc>
          <w:tcPr>
            <w:tcW w:type="dxa" w:w="1081"/>
          </w:tcPr>
          <w:p>
            <w:pPr>
              <w:spacing w:line="360" w:lineRule="auto" w:before="0" w:after="0"/>
              <w:jc w:val="both"/>
            </w:pPr>
            <w:r>
              <w:rPr>
                <w:rFonts w:ascii="宋体" w:hAnsi="宋体" w:eastAsia="宋体"/>
                <w:b w:val="0"/>
                <w:sz w:val="21"/>
              </w:rPr>
              <w:t>30/15</w:t>
            </w:r>
          </w:p>
        </w:tc>
        <w:tc>
          <w:tcPr>
            <w:tcW w:type="dxa" w:w="1081"/>
          </w:tcPr>
          <w:p>
            <w:pPr>
              <w:spacing w:line="360" w:lineRule="auto" w:before="0" w:after="0"/>
              <w:jc w:val="both"/>
            </w:pPr>
            <w:r>
              <w:rPr>
                <w:rFonts w:ascii="宋体" w:hAnsi="宋体" w:eastAsia="宋体"/>
                <w:b w:val="0"/>
                <w:sz w:val="21"/>
              </w:rPr>
              <w:t>-6.46%</w:t>
            </w:r>
          </w:p>
        </w:tc>
        <w:tc>
          <w:tcPr>
            <w:tcW w:type="dxa" w:w="1081"/>
          </w:tcPr>
          <w:p>
            <w:pPr>
              <w:spacing w:line="360" w:lineRule="auto" w:before="0" w:after="0"/>
              <w:jc w:val="both"/>
            </w:pPr>
            <w:r>
              <w:rPr>
                <w:rFonts w:ascii="宋体" w:hAnsi="宋体" w:eastAsia="宋体"/>
                <w:b w:val="0"/>
                <w:sz w:val="21"/>
              </w:rPr>
              <w:t>-16.80%</w:t>
            </w:r>
          </w:p>
        </w:tc>
        <w:tc>
          <w:tcPr>
            <w:tcW w:type="dxa" w:w="1081"/>
          </w:tcPr>
          <w:p>
            <w:pPr>
              <w:spacing w:line="360" w:lineRule="auto" w:before="0" w:after="0"/>
              <w:jc w:val="both"/>
            </w:pPr>
            <w:r>
              <w:rPr>
                <w:rFonts w:ascii="宋体" w:hAnsi="宋体" w:eastAsia="宋体"/>
                <w:b w:val="0"/>
                <w:sz w:val="21"/>
              </w:rPr>
              <w:t>+10.34%</w:t>
            </w:r>
          </w:p>
        </w:tc>
        <w:tc>
          <w:tcPr>
            <w:tcW w:type="dxa" w:w="1081"/>
          </w:tcPr>
          <w:p>
            <w:pPr>
              <w:spacing w:line="360" w:lineRule="auto" w:before="0" w:after="0"/>
              <w:jc w:val="both"/>
            </w:pPr>
            <w:r>
              <w:rPr>
                <w:rFonts w:ascii="宋体" w:hAnsi="宋体" w:eastAsia="宋体"/>
                <w:b w:val="0"/>
                <w:sz w:val="21"/>
              </w:rPr>
              <w:t>-6.55%</w:t>
            </w:r>
          </w:p>
        </w:tc>
        <w:tc>
          <w:tcPr>
            <w:tcW w:type="dxa" w:w="1081"/>
          </w:tcPr>
          <w:p>
            <w:pPr>
              <w:spacing w:line="360" w:lineRule="auto" w:before="0" w:after="0"/>
              <w:jc w:val="both"/>
            </w:pPr>
            <w:r>
              <w:rPr>
                <w:rFonts w:ascii="宋体" w:hAnsi="宋体" w:eastAsia="宋体"/>
                <w:b w:val="0"/>
                <w:sz w:val="21"/>
              </w:rPr>
              <w:t>0%</w:t>
            </w:r>
          </w:p>
        </w:tc>
        <w:tc>
          <w:tcPr>
            <w:tcW w:type="dxa" w:w="1081"/>
          </w:tcPr>
          <w:p>
            <w:pPr>
              <w:spacing w:line="360" w:lineRule="auto" w:before="0" w:after="0"/>
              <w:jc w:val="both"/>
            </w:pPr>
            <w:r>
              <w:rPr>
                <w:rFonts w:ascii="宋体" w:hAnsi="宋体" w:eastAsia="宋体"/>
                <w:b w:val="0"/>
                <w:sz w:val="21"/>
              </w:rPr>
              <w:t>2</w:t>
            </w:r>
          </w:p>
        </w:tc>
      </w:tr>
      <w:tr>
        <w:tc>
          <w:tcPr>
            <w:tcW w:type="dxa" w:w="1081"/>
          </w:tcPr>
          <w:p>
            <w:pPr>
              <w:spacing w:line="360" w:lineRule="auto" w:before="0" w:after="0"/>
              <w:jc w:val="both"/>
            </w:pPr>
            <w:r>
              <w:rPr>
                <w:rFonts w:ascii="宋体" w:hAnsi="宋体" w:eastAsia="宋体"/>
                <w:b w:val="0"/>
                <w:sz w:val="21"/>
              </w:rPr>
              <w:t>贵州茅台</w:t>
            </w:r>
          </w:p>
        </w:tc>
        <w:tc>
          <w:tcPr>
            <w:tcW w:type="dxa" w:w="1081"/>
          </w:tcPr>
          <w:p>
            <w:pPr>
              <w:spacing w:line="360" w:lineRule="auto" w:before="0" w:after="0"/>
              <w:jc w:val="both"/>
            </w:pPr>
            <w:r>
              <w:rPr>
                <w:rFonts w:ascii="宋体" w:hAnsi="宋体" w:eastAsia="宋体"/>
                <w:b w:val="0"/>
                <w:sz w:val="21"/>
              </w:rPr>
              <w:t>55/20</w:t>
            </w:r>
          </w:p>
        </w:tc>
        <w:tc>
          <w:tcPr>
            <w:tcW w:type="dxa" w:w="1081"/>
          </w:tcPr>
          <w:p>
            <w:pPr>
              <w:spacing w:line="360" w:lineRule="auto" w:before="0" w:after="0"/>
              <w:jc w:val="both"/>
            </w:pPr>
            <w:r>
              <w:rPr>
                <w:rFonts w:ascii="宋体" w:hAnsi="宋体" w:eastAsia="宋体"/>
                <w:b w:val="0"/>
                <w:sz w:val="21"/>
              </w:rPr>
              <w:t>-3.88%</w:t>
            </w:r>
          </w:p>
        </w:tc>
        <w:tc>
          <w:tcPr>
            <w:tcW w:type="dxa" w:w="1081"/>
          </w:tcPr>
          <w:p>
            <w:pPr>
              <w:spacing w:line="360" w:lineRule="auto" w:before="0" w:after="0"/>
              <w:jc w:val="both"/>
            </w:pPr>
            <w:r>
              <w:rPr>
                <w:rFonts w:ascii="宋体" w:hAnsi="宋体" w:eastAsia="宋体"/>
                <w:b w:val="0"/>
                <w:sz w:val="21"/>
              </w:rPr>
              <w:t>-16.26%</w:t>
            </w:r>
          </w:p>
        </w:tc>
        <w:tc>
          <w:tcPr>
            <w:tcW w:type="dxa" w:w="1081"/>
          </w:tcPr>
          <w:p>
            <w:pPr>
              <w:spacing w:line="360" w:lineRule="auto" w:before="0" w:after="0"/>
              <w:jc w:val="both"/>
            </w:pPr>
            <w:r>
              <w:rPr>
                <w:rFonts w:ascii="宋体" w:hAnsi="宋体" w:eastAsia="宋体"/>
                <w:b w:val="0"/>
                <w:sz w:val="21"/>
              </w:rPr>
              <w:t>+12.38%</w:t>
            </w:r>
          </w:p>
        </w:tc>
        <w:tc>
          <w:tcPr>
            <w:tcW w:type="dxa" w:w="1081"/>
          </w:tcPr>
          <w:p>
            <w:pPr>
              <w:spacing w:line="360" w:lineRule="auto" w:before="0" w:after="0"/>
              <w:jc w:val="both"/>
            </w:pPr>
            <w:r>
              <w:rPr>
                <w:rFonts w:ascii="宋体" w:hAnsi="宋体" w:eastAsia="宋体"/>
                <w:b w:val="0"/>
                <w:sz w:val="21"/>
              </w:rPr>
              <w:t>-4.71%</w:t>
            </w:r>
          </w:p>
        </w:tc>
        <w:tc>
          <w:tcPr>
            <w:tcW w:type="dxa" w:w="1081"/>
          </w:tcPr>
          <w:p>
            <w:pPr>
              <w:spacing w:line="360" w:lineRule="auto" w:before="0" w:after="0"/>
              <w:jc w:val="both"/>
            </w:pPr>
            <w:r>
              <w:rPr>
                <w:rFonts w:ascii="宋体" w:hAnsi="宋体" w:eastAsia="宋体"/>
                <w:b w:val="0"/>
                <w:sz w:val="21"/>
              </w:rPr>
              <w:t>0%</w:t>
            </w:r>
          </w:p>
        </w:tc>
        <w:tc>
          <w:tcPr>
            <w:tcW w:type="dxa" w:w="1081"/>
          </w:tcPr>
          <w:p>
            <w:pPr>
              <w:spacing w:line="360" w:lineRule="auto" w:before="0" w:after="0"/>
              <w:jc w:val="both"/>
            </w:pPr>
            <w:r>
              <w:rPr>
                <w:rFonts w:ascii="宋体" w:hAnsi="宋体" w:eastAsia="宋体"/>
                <w:b w:val="0"/>
                <w:sz w:val="21"/>
              </w:rPr>
              <w:t>1</w:t>
            </w:r>
          </w:p>
        </w:tc>
      </w:tr>
      <w:tr>
        <w:tc>
          <w:tcPr>
            <w:tcW w:type="dxa" w:w="1081"/>
          </w:tcPr>
          <w:p>
            <w:pPr>
              <w:spacing w:line="360" w:lineRule="auto" w:before="0" w:after="0"/>
              <w:jc w:val="both"/>
            </w:pPr>
            <w:r>
              <w:rPr>
                <w:rFonts w:ascii="宋体" w:hAnsi="宋体" w:eastAsia="宋体"/>
                <w:b w:val="0"/>
                <w:sz w:val="21"/>
              </w:rPr>
              <w:t>中国平安</w:t>
            </w:r>
          </w:p>
        </w:tc>
        <w:tc>
          <w:tcPr>
            <w:tcW w:type="dxa" w:w="1081"/>
          </w:tcPr>
          <w:p>
            <w:pPr>
              <w:spacing w:line="360" w:lineRule="auto" w:before="0" w:after="0"/>
              <w:jc w:val="both"/>
            </w:pPr>
            <w:r>
              <w:rPr>
                <w:rFonts w:ascii="宋体" w:hAnsi="宋体" w:eastAsia="宋体"/>
                <w:b w:val="0"/>
                <w:sz w:val="21"/>
              </w:rPr>
              <w:t>5/3</w:t>
            </w:r>
          </w:p>
        </w:tc>
        <w:tc>
          <w:tcPr>
            <w:tcW w:type="dxa" w:w="1081"/>
          </w:tcPr>
          <w:p>
            <w:pPr>
              <w:spacing w:line="360" w:lineRule="auto" w:before="0" w:after="0"/>
              <w:jc w:val="both"/>
            </w:pPr>
            <w:r>
              <w:rPr>
                <w:rFonts w:ascii="宋体" w:hAnsi="宋体" w:eastAsia="宋体"/>
                <w:b w:val="0"/>
                <w:sz w:val="21"/>
              </w:rPr>
              <w:t>-4.21%</w:t>
            </w:r>
          </w:p>
        </w:tc>
        <w:tc>
          <w:tcPr>
            <w:tcW w:type="dxa" w:w="1081"/>
          </w:tcPr>
          <w:p>
            <w:pPr>
              <w:spacing w:line="360" w:lineRule="auto" w:before="0" w:after="0"/>
              <w:jc w:val="both"/>
            </w:pPr>
            <w:r>
              <w:rPr>
                <w:rFonts w:ascii="宋体" w:hAnsi="宋体" w:eastAsia="宋体"/>
                <w:b w:val="0"/>
                <w:sz w:val="21"/>
              </w:rPr>
              <w:t>-12.90%</w:t>
            </w:r>
          </w:p>
        </w:tc>
        <w:tc>
          <w:tcPr>
            <w:tcW w:type="dxa" w:w="1081"/>
          </w:tcPr>
          <w:p>
            <w:pPr>
              <w:spacing w:line="360" w:lineRule="auto" w:before="0" w:after="0"/>
              <w:jc w:val="both"/>
            </w:pPr>
            <w:r>
              <w:rPr>
                <w:rFonts w:ascii="宋体" w:hAnsi="宋体" w:eastAsia="宋体"/>
                <w:b w:val="0"/>
                <w:sz w:val="21"/>
              </w:rPr>
              <w:t>+8.69%</w:t>
            </w:r>
          </w:p>
        </w:tc>
        <w:tc>
          <w:tcPr>
            <w:tcW w:type="dxa" w:w="1081"/>
          </w:tcPr>
          <w:p>
            <w:pPr>
              <w:spacing w:line="360" w:lineRule="auto" w:before="0" w:after="0"/>
              <w:jc w:val="both"/>
            </w:pPr>
            <w:r>
              <w:rPr>
                <w:rFonts w:ascii="宋体" w:hAnsi="宋体" w:eastAsia="宋体"/>
                <w:b w:val="0"/>
                <w:sz w:val="21"/>
              </w:rPr>
              <w:t>-10.53%</w:t>
            </w:r>
          </w:p>
        </w:tc>
        <w:tc>
          <w:tcPr>
            <w:tcW w:type="dxa" w:w="1081"/>
          </w:tcPr>
          <w:p>
            <w:pPr>
              <w:spacing w:line="360" w:lineRule="auto" w:before="0" w:after="0"/>
              <w:jc w:val="both"/>
            </w:pPr>
            <w:r>
              <w:rPr>
                <w:rFonts w:ascii="宋体" w:hAnsi="宋体" w:eastAsia="宋体"/>
                <w:b w:val="0"/>
                <w:sz w:val="21"/>
              </w:rPr>
              <w:t>18%</w:t>
            </w:r>
          </w:p>
        </w:tc>
        <w:tc>
          <w:tcPr>
            <w:tcW w:type="dxa" w:w="1081"/>
          </w:tcPr>
          <w:p>
            <w:pPr>
              <w:spacing w:line="360" w:lineRule="auto" w:before="0" w:after="0"/>
              <w:jc w:val="both"/>
            </w:pPr>
            <w:r>
              <w:rPr>
                <w:rFonts w:ascii="宋体" w:hAnsi="宋体" w:eastAsia="宋体"/>
                <w:b w:val="0"/>
                <w:sz w:val="21"/>
              </w:rPr>
              <w:t>11</w:t>
            </w:r>
          </w:p>
        </w:tc>
      </w:tr>
      <w:tr>
        <w:tc>
          <w:tcPr>
            <w:tcW w:type="dxa" w:w="1081"/>
          </w:tcPr>
          <w:p>
            <w:pPr>
              <w:spacing w:line="360" w:lineRule="auto" w:before="0" w:after="0"/>
              <w:jc w:val="both"/>
            </w:pPr>
            <w:r>
              <w:rPr>
                <w:rFonts w:ascii="宋体" w:hAnsi="宋体" w:eastAsia="宋体"/>
                <w:b w:val="0"/>
                <w:sz w:val="21"/>
              </w:rPr>
              <w:t>中国平安</w:t>
            </w:r>
          </w:p>
        </w:tc>
        <w:tc>
          <w:tcPr>
            <w:tcW w:type="dxa" w:w="1081"/>
          </w:tcPr>
          <w:p>
            <w:pPr>
              <w:spacing w:line="360" w:lineRule="auto" w:before="0" w:after="0"/>
              <w:jc w:val="both"/>
            </w:pPr>
            <w:r>
              <w:rPr>
                <w:rFonts w:ascii="宋体" w:hAnsi="宋体" w:eastAsia="宋体"/>
                <w:b w:val="0"/>
                <w:sz w:val="21"/>
              </w:rPr>
              <w:t>5/5</w:t>
            </w:r>
          </w:p>
        </w:tc>
        <w:tc>
          <w:tcPr>
            <w:tcW w:type="dxa" w:w="1081"/>
          </w:tcPr>
          <w:p>
            <w:pPr>
              <w:spacing w:line="360" w:lineRule="auto" w:before="0" w:after="0"/>
              <w:jc w:val="both"/>
            </w:pPr>
            <w:r>
              <w:rPr>
                <w:rFonts w:ascii="宋体" w:hAnsi="宋体" w:eastAsia="宋体"/>
                <w:b w:val="0"/>
                <w:sz w:val="21"/>
              </w:rPr>
              <w:t>+0.69%</w:t>
            </w:r>
          </w:p>
        </w:tc>
        <w:tc>
          <w:tcPr>
            <w:tcW w:type="dxa" w:w="1081"/>
          </w:tcPr>
          <w:p>
            <w:pPr>
              <w:spacing w:line="360" w:lineRule="auto" w:before="0" w:after="0"/>
              <w:jc w:val="both"/>
            </w:pPr>
            <w:r>
              <w:rPr>
                <w:rFonts w:ascii="宋体" w:hAnsi="宋体" w:eastAsia="宋体"/>
                <w:b w:val="0"/>
                <w:sz w:val="21"/>
              </w:rPr>
              <w:t>-12.90%</w:t>
            </w:r>
          </w:p>
        </w:tc>
        <w:tc>
          <w:tcPr>
            <w:tcW w:type="dxa" w:w="1081"/>
          </w:tcPr>
          <w:p>
            <w:pPr>
              <w:spacing w:line="360" w:lineRule="auto" w:before="0" w:after="0"/>
              <w:jc w:val="both"/>
            </w:pPr>
            <w:r>
              <w:rPr>
                <w:rFonts w:ascii="宋体" w:hAnsi="宋体" w:eastAsia="宋体"/>
                <w:b w:val="0"/>
                <w:sz w:val="21"/>
              </w:rPr>
              <w:t>+13.60%</w:t>
            </w:r>
          </w:p>
        </w:tc>
        <w:tc>
          <w:tcPr>
            <w:tcW w:type="dxa" w:w="1081"/>
          </w:tcPr>
          <w:p>
            <w:pPr>
              <w:spacing w:line="360" w:lineRule="auto" w:before="0" w:after="0"/>
              <w:jc w:val="both"/>
            </w:pPr>
            <w:r>
              <w:rPr>
                <w:rFonts w:ascii="宋体" w:hAnsi="宋体" w:eastAsia="宋体"/>
                <w:b w:val="0"/>
                <w:sz w:val="21"/>
              </w:rPr>
              <w:t>-11.12%</w:t>
            </w:r>
          </w:p>
        </w:tc>
        <w:tc>
          <w:tcPr>
            <w:tcW w:type="dxa" w:w="1081"/>
          </w:tcPr>
          <w:p>
            <w:pPr>
              <w:spacing w:line="360" w:lineRule="auto" w:before="0" w:after="0"/>
              <w:jc w:val="both"/>
            </w:pPr>
            <w:r>
              <w:rPr>
                <w:rFonts w:ascii="宋体" w:hAnsi="宋体" w:eastAsia="宋体"/>
                <w:b w:val="0"/>
                <w:sz w:val="21"/>
              </w:rPr>
              <w:t>29%</w:t>
            </w:r>
          </w:p>
        </w:tc>
        <w:tc>
          <w:tcPr>
            <w:tcW w:type="dxa" w:w="1081"/>
          </w:tcPr>
          <w:p>
            <w:pPr>
              <w:spacing w:line="360" w:lineRule="auto" w:before="0" w:after="0"/>
              <w:jc w:val="both"/>
            </w:pPr>
            <w:r>
              <w:rPr>
                <w:rFonts w:ascii="宋体" w:hAnsi="宋体" w:eastAsia="宋体"/>
                <w:b w:val="0"/>
                <w:sz w:val="21"/>
              </w:rPr>
              <w:t>7</w:t>
            </w:r>
          </w:p>
        </w:tc>
      </w:tr>
      <w:tr>
        <w:tc>
          <w:tcPr>
            <w:tcW w:type="dxa" w:w="1081"/>
          </w:tcPr>
          <w:p>
            <w:pPr>
              <w:spacing w:line="360" w:lineRule="auto" w:before="0" w:after="0"/>
              <w:jc w:val="both"/>
            </w:pPr>
            <w:r>
              <w:rPr>
                <w:rFonts w:ascii="宋体" w:hAnsi="宋体" w:eastAsia="宋体"/>
                <w:b w:val="0"/>
                <w:sz w:val="21"/>
              </w:rPr>
              <w:t>中国平安</w:t>
            </w:r>
          </w:p>
        </w:tc>
        <w:tc>
          <w:tcPr>
            <w:tcW w:type="dxa" w:w="1081"/>
          </w:tcPr>
          <w:p>
            <w:pPr>
              <w:spacing w:line="360" w:lineRule="auto" w:before="0" w:after="0"/>
              <w:jc w:val="both"/>
            </w:pPr>
            <w:r>
              <w:rPr>
                <w:rFonts w:ascii="宋体" w:hAnsi="宋体" w:eastAsia="宋体"/>
                <w:b w:val="0"/>
                <w:sz w:val="21"/>
              </w:rPr>
              <w:t>10/5</w:t>
            </w:r>
          </w:p>
        </w:tc>
        <w:tc>
          <w:tcPr>
            <w:tcW w:type="dxa" w:w="1081"/>
          </w:tcPr>
          <w:p>
            <w:pPr>
              <w:spacing w:line="360" w:lineRule="auto" w:before="0" w:after="0"/>
              <w:jc w:val="both"/>
            </w:pPr>
            <w:r>
              <w:rPr>
                <w:rFonts w:ascii="宋体" w:hAnsi="宋体" w:eastAsia="宋体"/>
                <w:b w:val="0"/>
                <w:sz w:val="21"/>
              </w:rPr>
              <w:t>-2.09%</w:t>
            </w:r>
          </w:p>
        </w:tc>
        <w:tc>
          <w:tcPr>
            <w:tcW w:type="dxa" w:w="1081"/>
          </w:tcPr>
          <w:p>
            <w:pPr>
              <w:spacing w:line="360" w:lineRule="auto" w:before="0" w:after="0"/>
              <w:jc w:val="both"/>
            </w:pPr>
            <w:r>
              <w:rPr>
                <w:rFonts w:ascii="宋体" w:hAnsi="宋体" w:eastAsia="宋体"/>
                <w:b w:val="0"/>
                <w:sz w:val="21"/>
              </w:rPr>
              <w:t>-15.62%</w:t>
            </w:r>
          </w:p>
        </w:tc>
        <w:tc>
          <w:tcPr>
            <w:tcW w:type="dxa" w:w="1081"/>
          </w:tcPr>
          <w:p>
            <w:pPr>
              <w:spacing w:line="360" w:lineRule="auto" w:before="0" w:after="0"/>
              <w:jc w:val="both"/>
            </w:pPr>
            <w:r>
              <w:rPr>
                <w:rFonts w:ascii="宋体" w:hAnsi="宋体" w:eastAsia="宋体"/>
                <w:b w:val="0"/>
                <w:sz w:val="21"/>
              </w:rPr>
              <w:t>+13.53%</w:t>
            </w:r>
          </w:p>
        </w:tc>
        <w:tc>
          <w:tcPr>
            <w:tcW w:type="dxa" w:w="1081"/>
          </w:tcPr>
          <w:p>
            <w:pPr>
              <w:spacing w:line="360" w:lineRule="auto" w:before="0" w:after="0"/>
              <w:jc w:val="both"/>
            </w:pPr>
            <w:r>
              <w:rPr>
                <w:rFonts w:ascii="宋体" w:hAnsi="宋体" w:eastAsia="宋体"/>
                <w:b w:val="0"/>
                <w:sz w:val="21"/>
              </w:rPr>
              <w:t>-12.00%</w:t>
            </w:r>
          </w:p>
        </w:tc>
        <w:tc>
          <w:tcPr>
            <w:tcW w:type="dxa" w:w="1081"/>
          </w:tcPr>
          <w:p>
            <w:pPr>
              <w:spacing w:line="360" w:lineRule="auto" w:before="0" w:after="0"/>
              <w:jc w:val="both"/>
            </w:pPr>
            <w:r>
              <w:rPr>
                <w:rFonts w:ascii="宋体" w:hAnsi="宋体" w:eastAsia="宋体"/>
                <w:b w:val="0"/>
                <w:sz w:val="21"/>
              </w:rPr>
              <w:t>33%</w:t>
            </w:r>
          </w:p>
        </w:tc>
        <w:tc>
          <w:tcPr>
            <w:tcW w:type="dxa" w:w="1081"/>
          </w:tcPr>
          <w:p>
            <w:pPr>
              <w:spacing w:line="360" w:lineRule="auto" w:before="0" w:after="0"/>
              <w:jc w:val="both"/>
            </w:pPr>
            <w:r>
              <w:rPr>
                <w:rFonts w:ascii="宋体" w:hAnsi="宋体" w:eastAsia="宋体"/>
                <w:b w:val="0"/>
                <w:sz w:val="21"/>
              </w:rPr>
              <w:t>6</w:t>
            </w:r>
          </w:p>
        </w:tc>
      </w:tr>
      <w:tr>
        <w:tc>
          <w:tcPr>
            <w:tcW w:type="dxa" w:w="1081"/>
          </w:tcPr>
          <w:p>
            <w:pPr>
              <w:spacing w:line="360" w:lineRule="auto" w:before="0" w:after="0"/>
              <w:jc w:val="both"/>
            </w:pPr>
            <w:r>
              <w:rPr>
                <w:rFonts w:ascii="宋体" w:hAnsi="宋体" w:eastAsia="宋体"/>
                <w:b w:val="0"/>
                <w:sz w:val="21"/>
              </w:rPr>
              <w:t>中国平安</w:t>
            </w:r>
          </w:p>
        </w:tc>
        <w:tc>
          <w:tcPr>
            <w:tcW w:type="dxa" w:w="1081"/>
          </w:tcPr>
          <w:p>
            <w:pPr>
              <w:spacing w:line="360" w:lineRule="auto" w:before="0" w:after="0"/>
              <w:jc w:val="both"/>
            </w:pPr>
            <w:r>
              <w:rPr>
                <w:rFonts w:ascii="宋体" w:hAnsi="宋体" w:eastAsia="宋体"/>
                <w:b w:val="0"/>
                <w:sz w:val="21"/>
              </w:rPr>
              <w:t>10/10</w:t>
            </w:r>
          </w:p>
        </w:tc>
        <w:tc>
          <w:tcPr>
            <w:tcW w:type="dxa" w:w="1081"/>
          </w:tcPr>
          <w:p>
            <w:pPr>
              <w:spacing w:line="360" w:lineRule="auto" w:before="0" w:after="0"/>
              <w:jc w:val="both"/>
            </w:pPr>
            <w:r>
              <w:rPr>
                <w:rFonts w:ascii="宋体" w:hAnsi="宋体" w:eastAsia="宋体"/>
                <w:b w:val="0"/>
                <w:sz w:val="21"/>
              </w:rPr>
              <w:t>-2.14%</w:t>
            </w:r>
          </w:p>
        </w:tc>
        <w:tc>
          <w:tcPr>
            <w:tcW w:type="dxa" w:w="1081"/>
          </w:tcPr>
          <w:p>
            <w:pPr>
              <w:spacing w:line="360" w:lineRule="auto" w:before="0" w:after="0"/>
              <w:jc w:val="both"/>
            </w:pPr>
            <w:r>
              <w:rPr>
                <w:rFonts w:ascii="宋体" w:hAnsi="宋体" w:eastAsia="宋体"/>
                <w:b w:val="0"/>
                <w:sz w:val="21"/>
              </w:rPr>
              <w:t>-15.62%</w:t>
            </w:r>
          </w:p>
        </w:tc>
        <w:tc>
          <w:tcPr>
            <w:tcW w:type="dxa" w:w="1081"/>
          </w:tcPr>
          <w:p>
            <w:pPr>
              <w:spacing w:line="360" w:lineRule="auto" w:before="0" w:after="0"/>
              <w:jc w:val="both"/>
            </w:pPr>
            <w:r>
              <w:rPr>
                <w:rFonts w:ascii="宋体" w:hAnsi="宋体" w:eastAsia="宋体"/>
                <w:b w:val="0"/>
                <w:sz w:val="21"/>
              </w:rPr>
              <w:t>+13.48%</w:t>
            </w:r>
          </w:p>
        </w:tc>
        <w:tc>
          <w:tcPr>
            <w:tcW w:type="dxa" w:w="1081"/>
          </w:tcPr>
          <w:p>
            <w:pPr>
              <w:spacing w:line="360" w:lineRule="auto" w:before="0" w:after="0"/>
              <w:jc w:val="both"/>
            </w:pPr>
            <w:r>
              <w:rPr>
                <w:rFonts w:ascii="宋体" w:hAnsi="宋体" w:eastAsia="宋体"/>
                <w:b w:val="0"/>
                <w:sz w:val="21"/>
              </w:rPr>
              <w:t>-12.43%</w:t>
            </w:r>
          </w:p>
        </w:tc>
        <w:tc>
          <w:tcPr>
            <w:tcW w:type="dxa" w:w="1081"/>
          </w:tcPr>
          <w:p>
            <w:pPr>
              <w:spacing w:line="360" w:lineRule="auto" w:before="0" w:after="0"/>
              <w:jc w:val="both"/>
            </w:pPr>
            <w:r>
              <w:rPr>
                <w:rFonts w:ascii="宋体" w:hAnsi="宋体" w:eastAsia="宋体"/>
                <w:b w:val="0"/>
                <w:sz w:val="21"/>
              </w:rPr>
              <w:t>40%</w:t>
            </w:r>
          </w:p>
        </w:tc>
        <w:tc>
          <w:tcPr>
            <w:tcW w:type="dxa" w:w="1081"/>
          </w:tcPr>
          <w:p>
            <w:pPr>
              <w:spacing w:line="360" w:lineRule="auto" w:before="0" w:after="0"/>
              <w:jc w:val="both"/>
            </w:pPr>
            <w:r>
              <w:rPr>
                <w:rFonts w:ascii="宋体" w:hAnsi="宋体" w:eastAsia="宋体"/>
                <w:b w:val="0"/>
                <w:sz w:val="21"/>
              </w:rPr>
              <w:t>5</w:t>
            </w:r>
          </w:p>
        </w:tc>
      </w:tr>
      <w:tr>
        <w:tc>
          <w:tcPr>
            <w:tcW w:type="dxa" w:w="1081"/>
          </w:tcPr>
          <w:p>
            <w:pPr>
              <w:spacing w:line="360" w:lineRule="auto" w:before="0" w:after="0"/>
              <w:jc w:val="both"/>
            </w:pPr>
            <w:r>
              <w:rPr>
                <w:rFonts w:ascii="宋体" w:hAnsi="宋体" w:eastAsia="宋体"/>
                <w:b w:val="0"/>
                <w:sz w:val="21"/>
              </w:rPr>
              <w:t>中国平安</w:t>
            </w:r>
          </w:p>
        </w:tc>
        <w:tc>
          <w:tcPr>
            <w:tcW w:type="dxa" w:w="1081"/>
          </w:tcPr>
          <w:p>
            <w:pPr>
              <w:spacing w:line="360" w:lineRule="auto" w:before="0" w:after="0"/>
              <w:jc w:val="both"/>
            </w:pPr>
            <w:r>
              <w:rPr>
                <w:rFonts w:ascii="宋体" w:hAnsi="宋体" w:eastAsia="宋体"/>
                <w:b w:val="0"/>
                <w:sz w:val="21"/>
              </w:rPr>
              <w:t>15/7</w:t>
            </w:r>
          </w:p>
        </w:tc>
        <w:tc>
          <w:tcPr>
            <w:tcW w:type="dxa" w:w="1081"/>
          </w:tcPr>
          <w:p>
            <w:pPr>
              <w:spacing w:line="360" w:lineRule="auto" w:before="0" w:after="0"/>
              <w:jc w:val="both"/>
            </w:pPr>
            <w:r>
              <w:rPr>
                <w:rFonts w:ascii="宋体" w:hAnsi="宋体" w:eastAsia="宋体"/>
                <w:b w:val="0"/>
                <w:sz w:val="21"/>
              </w:rPr>
              <w:t>-0.20%</w:t>
            </w:r>
          </w:p>
        </w:tc>
        <w:tc>
          <w:tcPr>
            <w:tcW w:type="dxa" w:w="1081"/>
          </w:tcPr>
          <w:p>
            <w:pPr>
              <w:spacing w:line="360" w:lineRule="auto" w:before="0" w:after="0"/>
              <w:jc w:val="both"/>
            </w:pPr>
            <w:r>
              <w:rPr>
                <w:rFonts w:ascii="宋体" w:hAnsi="宋体" w:eastAsia="宋体"/>
                <w:b w:val="0"/>
                <w:sz w:val="21"/>
              </w:rPr>
              <w:t>-15.69%</w:t>
            </w:r>
          </w:p>
        </w:tc>
        <w:tc>
          <w:tcPr>
            <w:tcW w:type="dxa" w:w="1081"/>
          </w:tcPr>
          <w:p>
            <w:pPr>
              <w:spacing w:line="360" w:lineRule="auto" w:before="0" w:after="0"/>
              <w:jc w:val="both"/>
            </w:pPr>
            <w:r>
              <w:rPr>
                <w:rFonts w:ascii="宋体" w:hAnsi="宋体" w:eastAsia="宋体"/>
                <w:b w:val="0"/>
                <w:sz w:val="21"/>
              </w:rPr>
              <w:t>+15.50%</w:t>
            </w:r>
          </w:p>
        </w:tc>
        <w:tc>
          <w:tcPr>
            <w:tcW w:type="dxa" w:w="1081"/>
          </w:tcPr>
          <w:p>
            <w:pPr>
              <w:spacing w:line="360" w:lineRule="auto" w:before="0" w:after="0"/>
              <w:jc w:val="both"/>
            </w:pPr>
            <w:r>
              <w:rPr>
                <w:rFonts w:ascii="宋体" w:hAnsi="宋体" w:eastAsia="宋体"/>
                <w:b w:val="0"/>
                <w:sz w:val="21"/>
              </w:rPr>
              <w:t>-10.96%</w:t>
            </w:r>
          </w:p>
        </w:tc>
        <w:tc>
          <w:tcPr>
            <w:tcW w:type="dxa" w:w="1081"/>
          </w:tcPr>
          <w:p>
            <w:pPr>
              <w:spacing w:line="360" w:lineRule="auto" w:before="0" w:after="0"/>
              <w:jc w:val="both"/>
            </w:pPr>
            <w:r>
              <w:rPr>
                <w:rFonts w:ascii="宋体" w:hAnsi="宋体" w:eastAsia="宋体"/>
                <w:b w:val="0"/>
                <w:sz w:val="21"/>
              </w:rPr>
              <w:t>50%</w:t>
            </w:r>
          </w:p>
        </w:tc>
        <w:tc>
          <w:tcPr>
            <w:tcW w:type="dxa" w:w="1081"/>
          </w:tcPr>
          <w:p>
            <w:pPr>
              <w:spacing w:line="360" w:lineRule="auto" w:before="0" w:after="0"/>
              <w:jc w:val="both"/>
            </w:pPr>
            <w:r>
              <w:rPr>
                <w:rFonts w:ascii="宋体" w:hAnsi="宋体" w:eastAsia="宋体"/>
                <w:b w:val="0"/>
                <w:sz w:val="21"/>
              </w:rPr>
              <w:t>4</w:t>
            </w:r>
          </w:p>
        </w:tc>
      </w:tr>
      <w:tr>
        <w:tc>
          <w:tcPr>
            <w:tcW w:type="dxa" w:w="1081"/>
          </w:tcPr>
          <w:p>
            <w:pPr>
              <w:spacing w:line="360" w:lineRule="auto" w:before="0" w:after="0"/>
              <w:jc w:val="both"/>
            </w:pPr>
            <w:r>
              <w:rPr>
                <w:rFonts w:ascii="宋体" w:hAnsi="宋体" w:eastAsia="宋体"/>
                <w:b w:val="0"/>
                <w:sz w:val="21"/>
              </w:rPr>
              <w:t>中国平安</w:t>
            </w:r>
          </w:p>
        </w:tc>
        <w:tc>
          <w:tcPr>
            <w:tcW w:type="dxa" w:w="1081"/>
          </w:tcPr>
          <w:p>
            <w:pPr>
              <w:spacing w:line="360" w:lineRule="auto" w:before="0" w:after="0"/>
              <w:jc w:val="both"/>
            </w:pPr>
            <w:r>
              <w:rPr>
                <w:rFonts w:ascii="宋体" w:hAnsi="宋体" w:eastAsia="宋体"/>
                <w:b w:val="0"/>
                <w:sz w:val="21"/>
              </w:rPr>
              <w:t>20/10</w:t>
            </w:r>
          </w:p>
        </w:tc>
        <w:tc>
          <w:tcPr>
            <w:tcW w:type="dxa" w:w="1081"/>
          </w:tcPr>
          <w:p>
            <w:pPr>
              <w:spacing w:line="360" w:lineRule="auto" w:before="0" w:after="0"/>
              <w:jc w:val="both"/>
            </w:pPr>
            <w:r>
              <w:rPr>
                <w:rFonts w:ascii="宋体" w:hAnsi="宋体" w:eastAsia="宋体"/>
                <w:b w:val="0"/>
                <w:sz w:val="21"/>
              </w:rPr>
              <w:t>+2.43%</w:t>
            </w:r>
          </w:p>
        </w:tc>
        <w:tc>
          <w:tcPr>
            <w:tcW w:type="dxa" w:w="1081"/>
          </w:tcPr>
          <w:p>
            <w:pPr>
              <w:spacing w:line="360" w:lineRule="auto" w:before="0" w:after="0"/>
              <w:jc w:val="both"/>
            </w:pPr>
            <w:r>
              <w:rPr>
                <w:rFonts w:ascii="宋体" w:hAnsi="宋体" w:eastAsia="宋体"/>
                <w:b w:val="0"/>
                <w:sz w:val="21"/>
              </w:rPr>
              <w:t>-15.96%</w:t>
            </w:r>
          </w:p>
        </w:tc>
        <w:tc>
          <w:tcPr>
            <w:tcW w:type="dxa" w:w="1081"/>
          </w:tcPr>
          <w:p>
            <w:pPr>
              <w:spacing w:line="360" w:lineRule="auto" w:before="0" w:after="0"/>
              <w:jc w:val="both"/>
            </w:pPr>
            <w:r>
              <w:rPr>
                <w:rFonts w:ascii="宋体" w:hAnsi="宋体" w:eastAsia="宋体"/>
                <w:b w:val="0"/>
                <w:sz w:val="21"/>
              </w:rPr>
              <w:t>+18.40%</w:t>
            </w:r>
          </w:p>
        </w:tc>
        <w:tc>
          <w:tcPr>
            <w:tcW w:type="dxa" w:w="1081"/>
          </w:tcPr>
          <w:p>
            <w:pPr>
              <w:spacing w:line="360" w:lineRule="auto" w:before="0" w:after="0"/>
              <w:jc w:val="both"/>
            </w:pPr>
            <w:r>
              <w:rPr>
                <w:rFonts w:ascii="宋体" w:hAnsi="宋体" w:eastAsia="宋体"/>
                <w:b w:val="0"/>
                <w:sz w:val="21"/>
              </w:rPr>
              <w:t>-9.23%</w:t>
            </w:r>
          </w:p>
        </w:tc>
        <w:tc>
          <w:tcPr>
            <w:tcW w:type="dxa" w:w="1081"/>
          </w:tcPr>
          <w:p>
            <w:pPr>
              <w:spacing w:line="360" w:lineRule="auto" w:before="0" w:after="0"/>
              <w:jc w:val="both"/>
            </w:pPr>
            <w:r>
              <w:rPr>
                <w:rFonts w:ascii="宋体" w:hAnsi="宋体" w:eastAsia="宋体"/>
                <w:b w:val="0"/>
                <w:sz w:val="21"/>
              </w:rPr>
              <w:t>50%</w:t>
            </w:r>
          </w:p>
        </w:tc>
        <w:tc>
          <w:tcPr>
            <w:tcW w:type="dxa" w:w="1081"/>
          </w:tcPr>
          <w:p>
            <w:pPr>
              <w:spacing w:line="360" w:lineRule="auto" w:before="0" w:after="0"/>
              <w:jc w:val="both"/>
            </w:pPr>
            <w:r>
              <w:rPr>
                <w:rFonts w:ascii="宋体" w:hAnsi="宋体" w:eastAsia="宋体"/>
                <w:b w:val="0"/>
                <w:sz w:val="21"/>
              </w:rPr>
              <w:t>2</w:t>
            </w:r>
          </w:p>
        </w:tc>
      </w:tr>
      <w:tr>
        <w:tc>
          <w:tcPr>
            <w:tcW w:type="dxa" w:w="1081"/>
          </w:tcPr>
          <w:p>
            <w:pPr>
              <w:spacing w:line="360" w:lineRule="auto" w:before="0" w:after="0"/>
              <w:jc w:val="both"/>
            </w:pPr>
            <w:r>
              <w:rPr>
                <w:rFonts w:ascii="宋体" w:hAnsi="宋体" w:eastAsia="宋体"/>
                <w:b w:val="0"/>
                <w:sz w:val="21"/>
              </w:rPr>
              <w:t>中国平安</w:t>
            </w:r>
          </w:p>
        </w:tc>
        <w:tc>
          <w:tcPr>
            <w:tcW w:type="dxa" w:w="1081"/>
          </w:tcPr>
          <w:p>
            <w:pPr>
              <w:spacing w:line="360" w:lineRule="auto" w:before="0" w:after="0"/>
              <w:jc w:val="both"/>
            </w:pPr>
            <w:r>
              <w:rPr>
                <w:rFonts w:ascii="宋体" w:hAnsi="宋体" w:eastAsia="宋体"/>
                <w:b w:val="0"/>
                <w:sz w:val="21"/>
              </w:rPr>
              <w:t>30/15</w:t>
            </w:r>
          </w:p>
        </w:tc>
        <w:tc>
          <w:tcPr>
            <w:tcW w:type="dxa" w:w="1081"/>
          </w:tcPr>
          <w:p>
            <w:pPr>
              <w:spacing w:line="360" w:lineRule="auto" w:before="0" w:after="0"/>
              <w:jc w:val="both"/>
            </w:pPr>
            <w:r>
              <w:rPr>
                <w:rFonts w:ascii="宋体" w:hAnsi="宋体" w:eastAsia="宋体"/>
                <w:b w:val="0"/>
                <w:sz w:val="21"/>
              </w:rPr>
              <w:t>-1.90%</w:t>
            </w:r>
          </w:p>
        </w:tc>
        <w:tc>
          <w:tcPr>
            <w:tcW w:type="dxa" w:w="1081"/>
          </w:tcPr>
          <w:p>
            <w:pPr>
              <w:spacing w:line="360" w:lineRule="auto" w:before="0" w:after="0"/>
              <w:jc w:val="both"/>
            </w:pPr>
            <w:r>
              <w:rPr>
                <w:rFonts w:ascii="宋体" w:hAnsi="宋体" w:eastAsia="宋体"/>
                <w:b w:val="0"/>
                <w:sz w:val="21"/>
              </w:rPr>
              <w:t>-17.01%</w:t>
            </w:r>
          </w:p>
        </w:tc>
        <w:tc>
          <w:tcPr>
            <w:tcW w:type="dxa" w:w="1081"/>
          </w:tcPr>
          <w:p>
            <w:pPr>
              <w:spacing w:line="360" w:lineRule="auto" w:before="0" w:after="0"/>
              <w:jc w:val="both"/>
            </w:pPr>
            <w:r>
              <w:rPr>
                <w:rFonts w:ascii="宋体" w:hAnsi="宋体" w:eastAsia="宋体"/>
                <w:b w:val="0"/>
                <w:sz w:val="21"/>
              </w:rPr>
              <w:t>+15.11%</w:t>
            </w:r>
          </w:p>
        </w:tc>
        <w:tc>
          <w:tcPr>
            <w:tcW w:type="dxa" w:w="1081"/>
          </w:tcPr>
          <w:p>
            <w:pPr>
              <w:spacing w:line="360" w:lineRule="auto" w:before="0" w:after="0"/>
              <w:jc w:val="both"/>
            </w:pPr>
            <w:r>
              <w:rPr>
                <w:rFonts w:ascii="宋体" w:hAnsi="宋体" w:eastAsia="宋体"/>
                <w:b w:val="0"/>
                <w:sz w:val="21"/>
              </w:rPr>
              <w:t>-9.23%</w:t>
            </w:r>
          </w:p>
        </w:tc>
        <w:tc>
          <w:tcPr>
            <w:tcW w:type="dxa" w:w="1081"/>
          </w:tcPr>
          <w:p>
            <w:pPr>
              <w:spacing w:line="360" w:lineRule="auto" w:before="0" w:after="0"/>
              <w:jc w:val="both"/>
            </w:pPr>
            <w:r>
              <w:rPr>
                <w:rFonts w:ascii="宋体" w:hAnsi="宋体" w:eastAsia="宋体"/>
                <w:b w:val="0"/>
                <w:sz w:val="21"/>
              </w:rPr>
              <w:t>50%</w:t>
            </w:r>
          </w:p>
        </w:tc>
        <w:tc>
          <w:tcPr>
            <w:tcW w:type="dxa" w:w="1081"/>
          </w:tcPr>
          <w:p>
            <w:pPr>
              <w:spacing w:line="360" w:lineRule="auto" w:before="0" w:after="0"/>
              <w:jc w:val="both"/>
            </w:pPr>
            <w:r>
              <w:rPr>
                <w:rFonts w:ascii="宋体" w:hAnsi="宋体" w:eastAsia="宋体"/>
                <w:b w:val="0"/>
                <w:sz w:val="21"/>
              </w:rPr>
              <w:t>2</w:t>
            </w:r>
          </w:p>
        </w:tc>
      </w:tr>
      <w:tr>
        <w:tc>
          <w:tcPr>
            <w:tcW w:type="dxa" w:w="1081"/>
          </w:tcPr>
          <w:p>
            <w:pPr>
              <w:spacing w:line="360" w:lineRule="auto" w:before="0" w:after="0"/>
              <w:jc w:val="both"/>
            </w:pPr>
            <w:r>
              <w:rPr>
                <w:rFonts w:ascii="宋体" w:hAnsi="宋体" w:eastAsia="宋体"/>
                <w:b w:val="0"/>
                <w:sz w:val="21"/>
              </w:rPr>
              <w:t>中国平安</w:t>
            </w:r>
          </w:p>
        </w:tc>
        <w:tc>
          <w:tcPr>
            <w:tcW w:type="dxa" w:w="1081"/>
          </w:tcPr>
          <w:p>
            <w:pPr>
              <w:spacing w:line="360" w:lineRule="auto" w:before="0" w:after="0"/>
              <w:jc w:val="both"/>
            </w:pPr>
            <w:r>
              <w:rPr>
                <w:rFonts w:ascii="宋体" w:hAnsi="宋体" w:eastAsia="宋体"/>
                <w:b w:val="0"/>
                <w:sz w:val="21"/>
              </w:rPr>
              <w:t>55/20</w:t>
            </w:r>
          </w:p>
        </w:tc>
        <w:tc>
          <w:tcPr>
            <w:tcW w:type="dxa" w:w="1081"/>
          </w:tcPr>
          <w:p>
            <w:pPr>
              <w:spacing w:line="360" w:lineRule="auto" w:before="0" w:after="0"/>
              <w:jc w:val="both"/>
            </w:pPr>
            <w:r>
              <w:rPr>
                <w:rFonts w:ascii="宋体" w:hAnsi="宋体" w:eastAsia="宋体"/>
                <w:b w:val="0"/>
                <w:sz w:val="21"/>
              </w:rPr>
              <w:t>+1.27%</w:t>
            </w:r>
          </w:p>
        </w:tc>
        <w:tc>
          <w:tcPr>
            <w:tcW w:type="dxa" w:w="1081"/>
          </w:tcPr>
          <w:p>
            <w:pPr>
              <w:spacing w:line="360" w:lineRule="auto" w:before="0" w:after="0"/>
              <w:jc w:val="both"/>
            </w:pPr>
            <w:r>
              <w:rPr>
                <w:rFonts w:ascii="宋体" w:hAnsi="宋体" w:eastAsia="宋体"/>
                <w:b w:val="0"/>
                <w:sz w:val="21"/>
              </w:rPr>
              <w:t>-10.18%</w:t>
            </w:r>
          </w:p>
        </w:tc>
        <w:tc>
          <w:tcPr>
            <w:tcW w:type="dxa" w:w="1081"/>
          </w:tcPr>
          <w:p>
            <w:pPr>
              <w:spacing w:line="360" w:lineRule="auto" w:before="0" w:after="0"/>
              <w:jc w:val="both"/>
            </w:pPr>
            <w:r>
              <w:rPr>
                <w:rFonts w:ascii="宋体" w:hAnsi="宋体" w:eastAsia="宋体"/>
                <w:b w:val="0"/>
                <w:sz w:val="21"/>
              </w:rPr>
              <w:t>+11.46%</w:t>
            </w:r>
          </w:p>
        </w:tc>
        <w:tc>
          <w:tcPr>
            <w:tcW w:type="dxa" w:w="1081"/>
          </w:tcPr>
          <w:p>
            <w:pPr>
              <w:spacing w:line="360" w:lineRule="auto" w:before="0" w:after="0"/>
              <w:jc w:val="both"/>
            </w:pPr>
            <w:r>
              <w:rPr>
                <w:rFonts w:ascii="宋体" w:hAnsi="宋体" w:eastAsia="宋体"/>
                <w:b w:val="0"/>
                <w:sz w:val="21"/>
              </w:rPr>
              <w:t>-10.99%</w:t>
            </w:r>
          </w:p>
        </w:tc>
        <w:tc>
          <w:tcPr>
            <w:tcW w:type="dxa" w:w="1081"/>
          </w:tcPr>
          <w:p>
            <w:pPr>
              <w:spacing w:line="360" w:lineRule="auto" w:before="0" w:after="0"/>
              <w:jc w:val="both"/>
            </w:pPr>
            <w:r>
              <w:rPr>
                <w:rFonts w:ascii="宋体" w:hAnsi="宋体" w:eastAsia="宋体"/>
                <w:b w:val="0"/>
                <w:sz w:val="21"/>
              </w:rPr>
              <w:t>100%</w:t>
            </w:r>
          </w:p>
        </w:tc>
        <w:tc>
          <w:tcPr>
            <w:tcW w:type="dxa" w:w="1081"/>
          </w:tcPr>
          <w:p>
            <w:pPr>
              <w:spacing w:line="360" w:lineRule="auto" w:before="0" w:after="0"/>
              <w:jc w:val="both"/>
            </w:pPr>
            <w:r>
              <w:rPr>
                <w:rFonts w:ascii="宋体" w:hAnsi="宋体" w:eastAsia="宋体"/>
                <w:b w:val="0"/>
                <w:sz w:val="21"/>
              </w:rPr>
              <w:t>1</w:t>
            </w:r>
          </w:p>
        </w:tc>
      </w:tr>
    </w:tbl>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4.3 多股票 x 多参数综合测试</w:t>
      </w:r>
    </w:p>
    <w:p>
      <w:pPr>
        <w:spacing w:line="360" w:lineRule="auto" w:before="0" w:after="0"/>
        <w:ind w:firstLine="420"/>
        <w:jc w:val="both"/>
      </w:pPr>
      <w:r>
        <w:rPr>
          <w:rFonts w:ascii="宋体" w:hAnsi="宋体" w:eastAsia="宋体"/>
          <w:b w:val="0"/>
          <w:sz w:val="21"/>
        </w:rPr>
        <w:t>为了更全面地评估海龟策略的适应性，本任务将三只股票与八组参数进行交叉回测，共计24组回测结果。表3展示了各股票在不同参数下的超额收益表现。</w:t>
      </w:r>
    </w:p>
    <w:p>
      <w:pPr>
        <w:spacing w:line="360" w:lineRule="auto" w:before="0" w:after="0"/>
        <w:jc w:val="both"/>
      </w:pPr>
      <w:r>
        <w:rPr>
          <w:rFonts w:ascii="宋体" w:hAnsi="宋体" w:eastAsia="宋体"/>
          <w:b w:val="0"/>
          <w:sz w:val="21"/>
        </w:rPr>
        <w:t>表3 多股票 x 多参数超额收益对比（%）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spacing w:line="360" w:lineRule="auto" w:before="0" w:after="0"/>
              <w:jc w:val="both"/>
            </w:pPr>
            <w:r>
              <w:rPr>
                <w:rFonts w:ascii="宋体" w:hAnsi="宋体" w:eastAsia="宋体"/>
                <w:b/>
                <w:sz w:val="21"/>
              </w:rPr>
              <w:t>参数组合</w:t>
            </w:r>
          </w:p>
        </w:tc>
        <w:tc>
          <w:tcPr>
            <w:tcW w:type="dxa" w:w="2161"/>
          </w:tcPr>
          <w:p>
            <w:pPr>
              <w:spacing w:line="360" w:lineRule="auto" w:before="0" w:after="0"/>
              <w:jc w:val="both"/>
            </w:pPr>
            <w:r>
              <w:rPr>
                <w:rFonts w:ascii="宋体" w:hAnsi="宋体" w:eastAsia="宋体"/>
                <w:b/>
                <w:sz w:val="21"/>
              </w:rPr>
              <w:t>长江电力</w:t>
            </w:r>
          </w:p>
        </w:tc>
        <w:tc>
          <w:tcPr>
            <w:tcW w:type="dxa" w:w="2161"/>
          </w:tcPr>
          <w:p>
            <w:pPr>
              <w:spacing w:line="360" w:lineRule="auto" w:before="0" w:after="0"/>
              <w:jc w:val="both"/>
            </w:pPr>
            <w:r>
              <w:rPr>
                <w:rFonts w:ascii="宋体" w:hAnsi="宋体" w:eastAsia="宋体"/>
                <w:b/>
                <w:sz w:val="21"/>
              </w:rPr>
              <w:t>贵州茅台</w:t>
            </w:r>
          </w:p>
        </w:tc>
        <w:tc>
          <w:tcPr>
            <w:tcW w:type="dxa" w:w="2161"/>
          </w:tcPr>
          <w:p>
            <w:pPr>
              <w:spacing w:line="360" w:lineRule="auto" w:before="0" w:after="0"/>
              <w:jc w:val="both"/>
            </w:pPr>
            <w:r>
              <w:rPr>
                <w:rFonts w:ascii="宋体" w:hAnsi="宋体" w:eastAsia="宋体"/>
                <w:b/>
                <w:sz w:val="21"/>
              </w:rPr>
              <w:t>中国平安</w:t>
            </w:r>
          </w:p>
        </w:tc>
      </w:tr>
      <w:tr>
        <w:tc>
          <w:tcPr>
            <w:tcW w:type="dxa" w:w="2161"/>
          </w:tcPr>
          <w:p>
            <w:pPr>
              <w:spacing w:line="360" w:lineRule="auto" w:before="0" w:after="0"/>
              <w:jc w:val="both"/>
            </w:pPr>
            <w:r>
              <w:rPr>
                <w:rFonts w:ascii="宋体" w:hAnsi="宋体" w:eastAsia="宋体"/>
                <w:b w:val="0"/>
                <w:sz w:val="21"/>
              </w:rPr>
              <w:t>5/3</w:t>
            </w:r>
          </w:p>
        </w:tc>
        <w:tc>
          <w:tcPr>
            <w:tcW w:type="dxa" w:w="2161"/>
          </w:tcPr>
          <w:p>
            <w:pPr>
              <w:spacing w:line="360" w:lineRule="auto" w:before="0" w:after="0"/>
              <w:jc w:val="both"/>
            </w:pPr>
            <w:r>
              <w:rPr>
                <w:rFonts w:ascii="宋体" w:hAnsi="宋体" w:eastAsia="宋体"/>
                <w:b w:val="0"/>
                <w:sz w:val="21"/>
              </w:rPr>
              <w:t>+0.92%</w:t>
            </w:r>
          </w:p>
        </w:tc>
        <w:tc>
          <w:tcPr>
            <w:tcW w:type="dxa" w:w="2161"/>
          </w:tcPr>
          <w:p>
            <w:pPr>
              <w:spacing w:line="360" w:lineRule="auto" w:before="0" w:after="0"/>
              <w:jc w:val="both"/>
            </w:pPr>
            <w:r>
              <w:rPr>
                <w:rFonts w:ascii="宋体" w:hAnsi="宋体" w:eastAsia="宋体"/>
                <w:b w:val="0"/>
                <w:sz w:val="21"/>
              </w:rPr>
              <w:t>+1.80%</w:t>
            </w:r>
          </w:p>
        </w:tc>
        <w:tc>
          <w:tcPr>
            <w:tcW w:type="dxa" w:w="2161"/>
          </w:tcPr>
          <w:p>
            <w:pPr>
              <w:spacing w:line="360" w:lineRule="auto" w:before="0" w:after="0"/>
              <w:jc w:val="both"/>
            </w:pPr>
            <w:r>
              <w:rPr>
                <w:rFonts w:ascii="宋体" w:hAnsi="宋体" w:eastAsia="宋体"/>
                <w:b w:val="0"/>
                <w:sz w:val="21"/>
              </w:rPr>
              <w:t>+8.69%</w:t>
            </w:r>
          </w:p>
        </w:tc>
      </w:tr>
      <w:tr>
        <w:tc>
          <w:tcPr>
            <w:tcW w:type="dxa" w:w="2161"/>
          </w:tcPr>
          <w:p>
            <w:pPr>
              <w:spacing w:line="360" w:lineRule="auto" w:before="0" w:after="0"/>
              <w:jc w:val="both"/>
            </w:pPr>
            <w:r>
              <w:rPr>
                <w:rFonts w:ascii="宋体" w:hAnsi="宋体" w:eastAsia="宋体"/>
                <w:b w:val="0"/>
                <w:sz w:val="21"/>
              </w:rPr>
              <w:t>5/5</w:t>
            </w:r>
          </w:p>
        </w:tc>
        <w:tc>
          <w:tcPr>
            <w:tcW w:type="dxa" w:w="2161"/>
          </w:tcPr>
          <w:p>
            <w:pPr>
              <w:spacing w:line="360" w:lineRule="auto" w:before="0" w:after="0"/>
              <w:jc w:val="both"/>
            </w:pPr>
            <w:r>
              <w:rPr>
                <w:rFonts w:ascii="宋体" w:hAnsi="宋体" w:eastAsia="宋体"/>
                <w:b w:val="0"/>
                <w:sz w:val="21"/>
              </w:rPr>
              <w:t>+0.74%</w:t>
            </w:r>
          </w:p>
        </w:tc>
        <w:tc>
          <w:tcPr>
            <w:tcW w:type="dxa" w:w="2161"/>
          </w:tcPr>
          <w:p>
            <w:pPr>
              <w:spacing w:line="360" w:lineRule="auto" w:before="0" w:after="0"/>
              <w:jc w:val="both"/>
            </w:pPr>
            <w:r>
              <w:rPr>
                <w:rFonts w:ascii="宋体" w:hAnsi="宋体" w:eastAsia="宋体"/>
                <w:b w:val="0"/>
                <w:sz w:val="21"/>
              </w:rPr>
              <w:t>-1.06%</w:t>
            </w:r>
          </w:p>
        </w:tc>
        <w:tc>
          <w:tcPr>
            <w:tcW w:type="dxa" w:w="2161"/>
          </w:tcPr>
          <w:p>
            <w:pPr>
              <w:spacing w:line="360" w:lineRule="auto" w:before="0" w:after="0"/>
              <w:jc w:val="both"/>
            </w:pPr>
            <w:r>
              <w:rPr>
                <w:rFonts w:ascii="宋体" w:hAnsi="宋体" w:eastAsia="宋体"/>
                <w:b w:val="0"/>
                <w:sz w:val="21"/>
              </w:rPr>
              <w:t>+13.60%</w:t>
            </w:r>
          </w:p>
        </w:tc>
      </w:tr>
      <w:tr>
        <w:tc>
          <w:tcPr>
            <w:tcW w:type="dxa" w:w="2161"/>
          </w:tcPr>
          <w:p>
            <w:pPr>
              <w:spacing w:line="360" w:lineRule="auto" w:before="0" w:after="0"/>
              <w:jc w:val="both"/>
            </w:pPr>
            <w:r>
              <w:rPr>
                <w:rFonts w:ascii="宋体" w:hAnsi="宋体" w:eastAsia="宋体"/>
                <w:b w:val="0"/>
                <w:sz w:val="21"/>
              </w:rPr>
              <w:t>10/5</w:t>
            </w:r>
          </w:p>
        </w:tc>
        <w:tc>
          <w:tcPr>
            <w:tcW w:type="dxa" w:w="2161"/>
          </w:tcPr>
          <w:p>
            <w:pPr>
              <w:spacing w:line="360" w:lineRule="auto" w:before="0" w:after="0"/>
              <w:jc w:val="both"/>
            </w:pPr>
            <w:r>
              <w:rPr>
                <w:rFonts w:ascii="宋体" w:hAnsi="宋体" w:eastAsia="宋体"/>
                <w:b w:val="0"/>
                <w:sz w:val="21"/>
              </w:rPr>
              <w:t>+8.48%</w:t>
            </w:r>
          </w:p>
        </w:tc>
        <w:tc>
          <w:tcPr>
            <w:tcW w:type="dxa" w:w="2161"/>
          </w:tcPr>
          <w:p>
            <w:pPr>
              <w:spacing w:line="360" w:lineRule="auto" w:before="0" w:after="0"/>
              <w:jc w:val="both"/>
            </w:pPr>
            <w:r>
              <w:rPr>
                <w:rFonts w:ascii="宋体" w:hAnsi="宋体" w:eastAsia="宋体"/>
                <w:b w:val="0"/>
                <w:sz w:val="21"/>
              </w:rPr>
              <w:t>+10.62%</w:t>
            </w:r>
          </w:p>
        </w:tc>
        <w:tc>
          <w:tcPr>
            <w:tcW w:type="dxa" w:w="2161"/>
          </w:tcPr>
          <w:p>
            <w:pPr>
              <w:spacing w:line="360" w:lineRule="auto" w:before="0" w:after="0"/>
              <w:jc w:val="both"/>
            </w:pPr>
            <w:r>
              <w:rPr>
                <w:rFonts w:ascii="宋体" w:hAnsi="宋体" w:eastAsia="宋体"/>
                <w:b w:val="0"/>
                <w:sz w:val="21"/>
              </w:rPr>
              <w:t>+13.53%</w:t>
            </w:r>
          </w:p>
        </w:tc>
      </w:tr>
      <w:tr>
        <w:tc>
          <w:tcPr>
            <w:tcW w:type="dxa" w:w="2161"/>
          </w:tcPr>
          <w:p>
            <w:pPr>
              <w:spacing w:line="360" w:lineRule="auto" w:before="0" w:after="0"/>
              <w:jc w:val="both"/>
            </w:pPr>
            <w:r>
              <w:rPr>
                <w:rFonts w:ascii="宋体" w:hAnsi="宋体" w:eastAsia="宋体"/>
                <w:b w:val="0"/>
                <w:sz w:val="21"/>
              </w:rPr>
              <w:t>10/10</w:t>
            </w:r>
          </w:p>
        </w:tc>
        <w:tc>
          <w:tcPr>
            <w:tcW w:type="dxa" w:w="2161"/>
          </w:tcPr>
          <w:p>
            <w:pPr>
              <w:spacing w:line="360" w:lineRule="auto" w:before="0" w:after="0"/>
              <w:jc w:val="both"/>
            </w:pPr>
            <w:r>
              <w:rPr>
                <w:rFonts w:ascii="宋体" w:hAnsi="宋体" w:eastAsia="宋体"/>
                <w:b w:val="0"/>
                <w:sz w:val="21"/>
              </w:rPr>
              <w:t>+4.07%</w:t>
            </w:r>
          </w:p>
        </w:tc>
        <w:tc>
          <w:tcPr>
            <w:tcW w:type="dxa" w:w="2161"/>
          </w:tcPr>
          <w:p>
            <w:pPr>
              <w:spacing w:line="360" w:lineRule="auto" w:before="0" w:after="0"/>
              <w:jc w:val="both"/>
            </w:pPr>
            <w:r>
              <w:rPr>
                <w:rFonts w:ascii="宋体" w:hAnsi="宋体" w:eastAsia="宋体"/>
                <w:b w:val="0"/>
                <w:sz w:val="21"/>
              </w:rPr>
              <w:t>+7.90%</w:t>
            </w:r>
          </w:p>
        </w:tc>
        <w:tc>
          <w:tcPr>
            <w:tcW w:type="dxa" w:w="2161"/>
          </w:tcPr>
          <w:p>
            <w:pPr>
              <w:spacing w:line="360" w:lineRule="auto" w:before="0" w:after="0"/>
              <w:jc w:val="both"/>
            </w:pPr>
            <w:r>
              <w:rPr>
                <w:rFonts w:ascii="宋体" w:hAnsi="宋体" w:eastAsia="宋体"/>
                <w:b w:val="0"/>
                <w:sz w:val="21"/>
              </w:rPr>
              <w:t>+13.48%</w:t>
            </w:r>
          </w:p>
        </w:tc>
      </w:tr>
      <w:tr>
        <w:tc>
          <w:tcPr>
            <w:tcW w:type="dxa" w:w="2161"/>
          </w:tcPr>
          <w:p>
            <w:pPr>
              <w:spacing w:line="360" w:lineRule="auto" w:before="0" w:after="0"/>
              <w:jc w:val="both"/>
            </w:pPr>
            <w:r>
              <w:rPr>
                <w:rFonts w:ascii="宋体" w:hAnsi="宋体" w:eastAsia="宋体"/>
                <w:b w:val="0"/>
                <w:sz w:val="21"/>
              </w:rPr>
              <w:t>15/7</w:t>
            </w:r>
          </w:p>
        </w:tc>
        <w:tc>
          <w:tcPr>
            <w:tcW w:type="dxa" w:w="2161"/>
          </w:tcPr>
          <w:p>
            <w:pPr>
              <w:spacing w:line="360" w:lineRule="auto" w:before="0" w:after="0"/>
              <w:jc w:val="both"/>
            </w:pPr>
            <w:r>
              <w:rPr>
                <w:rFonts w:ascii="宋体" w:hAnsi="宋体" w:eastAsia="宋体"/>
                <w:b w:val="0"/>
                <w:sz w:val="21"/>
              </w:rPr>
              <w:t>+5.25%</w:t>
            </w:r>
          </w:p>
        </w:tc>
        <w:tc>
          <w:tcPr>
            <w:tcW w:type="dxa" w:w="2161"/>
          </w:tcPr>
          <w:p>
            <w:pPr>
              <w:spacing w:line="360" w:lineRule="auto" w:before="0" w:after="0"/>
              <w:jc w:val="both"/>
            </w:pPr>
            <w:r>
              <w:rPr>
                <w:rFonts w:ascii="宋体" w:hAnsi="宋体" w:eastAsia="宋体"/>
                <w:b w:val="0"/>
                <w:sz w:val="21"/>
              </w:rPr>
              <w:t>+9.53%</w:t>
            </w:r>
          </w:p>
        </w:tc>
        <w:tc>
          <w:tcPr>
            <w:tcW w:type="dxa" w:w="2161"/>
          </w:tcPr>
          <w:p>
            <w:pPr>
              <w:spacing w:line="360" w:lineRule="auto" w:before="0" w:after="0"/>
              <w:jc w:val="both"/>
            </w:pPr>
            <w:r>
              <w:rPr>
                <w:rFonts w:ascii="宋体" w:hAnsi="宋体" w:eastAsia="宋体"/>
                <w:b w:val="0"/>
                <w:sz w:val="21"/>
              </w:rPr>
              <w:t>+15.50%</w:t>
            </w:r>
          </w:p>
        </w:tc>
      </w:tr>
      <w:tr>
        <w:tc>
          <w:tcPr>
            <w:tcW w:type="dxa" w:w="2161"/>
          </w:tcPr>
          <w:p>
            <w:pPr>
              <w:spacing w:line="360" w:lineRule="auto" w:before="0" w:after="0"/>
              <w:jc w:val="both"/>
            </w:pPr>
            <w:r>
              <w:rPr>
                <w:rFonts w:ascii="宋体" w:hAnsi="宋体" w:eastAsia="宋体"/>
                <w:b w:val="0"/>
                <w:sz w:val="21"/>
              </w:rPr>
              <w:t>20/10</w:t>
            </w:r>
          </w:p>
        </w:tc>
        <w:tc>
          <w:tcPr>
            <w:tcW w:type="dxa" w:w="2161"/>
          </w:tcPr>
          <w:p>
            <w:pPr>
              <w:spacing w:line="360" w:lineRule="auto" w:before="0" w:after="0"/>
              <w:jc w:val="both"/>
            </w:pPr>
            <w:r>
              <w:rPr>
                <w:rFonts w:ascii="宋体" w:hAnsi="宋体" w:eastAsia="宋体"/>
                <w:b w:val="0"/>
                <w:sz w:val="21"/>
              </w:rPr>
              <w:t>-0.33%</w:t>
            </w:r>
          </w:p>
        </w:tc>
        <w:tc>
          <w:tcPr>
            <w:tcW w:type="dxa" w:w="2161"/>
          </w:tcPr>
          <w:p>
            <w:pPr>
              <w:spacing w:line="360" w:lineRule="auto" w:before="0" w:after="0"/>
              <w:jc w:val="both"/>
            </w:pPr>
            <w:r>
              <w:rPr>
                <w:rFonts w:ascii="宋体" w:hAnsi="宋体" w:eastAsia="宋体"/>
                <w:b w:val="0"/>
                <w:sz w:val="21"/>
              </w:rPr>
              <w:t>+9.81%</w:t>
            </w:r>
          </w:p>
        </w:tc>
        <w:tc>
          <w:tcPr>
            <w:tcW w:type="dxa" w:w="2161"/>
          </w:tcPr>
          <w:p>
            <w:pPr>
              <w:spacing w:line="360" w:lineRule="auto" w:before="0" w:after="0"/>
              <w:jc w:val="both"/>
            </w:pPr>
            <w:r>
              <w:rPr>
                <w:rFonts w:ascii="宋体" w:hAnsi="宋体" w:eastAsia="宋体"/>
                <w:b w:val="0"/>
                <w:sz w:val="21"/>
              </w:rPr>
              <w:t>+18.40%</w:t>
            </w:r>
          </w:p>
        </w:tc>
      </w:tr>
      <w:tr>
        <w:tc>
          <w:tcPr>
            <w:tcW w:type="dxa" w:w="2161"/>
          </w:tcPr>
          <w:p>
            <w:pPr>
              <w:spacing w:line="360" w:lineRule="auto" w:before="0" w:after="0"/>
              <w:jc w:val="both"/>
            </w:pPr>
            <w:r>
              <w:rPr>
                <w:rFonts w:ascii="宋体" w:hAnsi="宋体" w:eastAsia="宋体"/>
                <w:b w:val="0"/>
                <w:sz w:val="21"/>
              </w:rPr>
              <w:t>30/15</w:t>
            </w:r>
          </w:p>
        </w:tc>
        <w:tc>
          <w:tcPr>
            <w:tcW w:type="dxa" w:w="2161"/>
          </w:tcPr>
          <w:p>
            <w:pPr>
              <w:spacing w:line="360" w:lineRule="auto" w:before="0" w:after="0"/>
              <w:jc w:val="both"/>
            </w:pPr>
            <w:r>
              <w:rPr>
                <w:rFonts w:ascii="宋体" w:hAnsi="宋体" w:eastAsia="宋体"/>
                <w:b w:val="0"/>
                <w:sz w:val="21"/>
              </w:rPr>
              <w:t>-1.89%</w:t>
            </w:r>
          </w:p>
        </w:tc>
        <w:tc>
          <w:tcPr>
            <w:tcW w:type="dxa" w:w="2161"/>
          </w:tcPr>
          <w:p>
            <w:pPr>
              <w:spacing w:line="360" w:lineRule="auto" w:before="0" w:after="0"/>
              <w:jc w:val="both"/>
            </w:pPr>
            <w:r>
              <w:rPr>
                <w:rFonts w:ascii="宋体" w:hAnsi="宋体" w:eastAsia="宋体"/>
                <w:b w:val="0"/>
                <w:sz w:val="21"/>
              </w:rPr>
              <w:t>+10.34%</w:t>
            </w:r>
          </w:p>
        </w:tc>
        <w:tc>
          <w:tcPr>
            <w:tcW w:type="dxa" w:w="2161"/>
          </w:tcPr>
          <w:p>
            <w:pPr>
              <w:spacing w:line="360" w:lineRule="auto" w:before="0" w:after="0"/>
              <w:jc w:val="both"/>
            </w:pPr>
            <w:r>
              <w:rPr>
                <w:rFonts w:ascii="宋体" w:hAnsi="宋体" w:eastAsia="宋体"/>
                <w:b w:val="0"/>
                <w:sz w:val="21"/>
              </w:rPr>
              <w:t>+15.11%</w:t>
            </w:r>
          </w:p>
        </w:tc>
      </w:tr>
      <w:tr>
        <w:tc>
          <w:tcPr>
            <w:tcW w:type="dxa" w:w="2161"/>
          </w:tcPr>
          <w:p>
            <w:pPr>
              <w:spacing w:line="360" w:lineRule="auto" w:before="0" w:after="0"/>
              <w:jc w:val="both"/>
            </w:pPr>
            <w:r>
              <w:rPr>
                <w:rFonts w:ascii="宋体" w:hAnsi="宋体" w:eastAsia="宋体"/>
                <w:b w:val="0"/>
                <w:sz w:val="21"/>
              </w:rPr>
              <w:t>55/20</w:t>
            </w:r>
          </w:p>
        </w:tc>
        <w:tc>
          <w:tcPr>
            <w:tcW w:type="dxa" w:w="2161"/>
          </w:tcPr>
          <w:p>
            <w:pPr>
              <w:spacing w:line="360" w:lineRule="auto" w:before="0" w:after="0"/>
              <w:jc w:val="both"/>
            </w:pPr>
            <w:r>
              <w:rPr>
                <w:rFonts w:ascii="宋体" w:hAnsi="宋体" w:eastAsia="宋体"/>
                <w:b w:val="0"/>
                <w:sz w:val="21"/>
              </w:rPr>
              <w:t>-2.00%</w:t>
            </w:r>
          </w:p>
        </w:tc>
        <w:tc>
          <w:tcPr>
            <w:tcW w:type="dxa" w:w="2161"/>
          </w:tcPr>
          <w:p>
            <w:pPr>
              <w:spacing w:line="360" w:lineRule="auto" w:before="0" w:after="0"/>
              <w:jc w:val="both"/>
            </w:pPr>
            <w:r>
              <w:rPr>
                <w:rFonts w:ascii="宋体" w:hAnsi="宋体" w:eastAsia="宋体"/>
                <w:b w:val="0"/>
                <w:sz w:val="21"/>
              </w:rPr>
              <w:t>+12.38%</w:t>
            </w:r>
          </w:p>
        </w:tc>
        <w:tc>
          <w:tcPr>
            <w:tcW w:type="dxa" w:w="2161"/>
          </w:tcPr>
          <w:p>
            <w:pPr>
              <w:spacing w:line="360" w:lineRule="auto" w:before="0" w:after="0"/>
              <w:jc w:val="both"/>
            </w:pPr>
            <w:r>
              <w:rPr>
                <w:rFonts w:ascii="宋体" w:hAnsi="宋体" w:eastAsia="宋体"/>
                <w:b w:val="0"/>
                <w:sz w:val="21"/>
              </w:rPr>
              <w:t>+11.46%</w:t>
            </w:r>
          </w:p>
        </w:tc>
      </w:tr>
    </w:tbl>
    <w:p>
      <w:pPr>
        <w:spacing w:line="360" w:lineRule="auto" w:before="0" w:after="0"/>
        <w:ind w:firstLine="420"/>
        <w:jc w:val="both"/>
      </w:pPr>
      <w:r>
        <w:rPr>
          <w:rFonts w:ascii="宋体" w:hAnsi="宋体" w:eastAsia="宋体"/>
          <w:b w:val="0"/>
          <w:sz w:val="21"/>
        </w:rPr>
        <w:t>从综合测试结果可以得出以下关键发现：（1）中国平安是海龟策略表现最佳的标的，在全部8组参数下均获得正超额收益，其中20/10参数下策略实现正收益+2.43%，超额收益高达+18.40%，胜率50%，盈亏比4.69。这是因为中国平安在回测期内波动较大，出现了多次可捕捉的趋势行情。（2）贵州茅台在长周期参数下表现更好，55/20参数下超额收益达+12.38%，说明对于波动较大但趋势较慢的标的，长周期通道能更好过滤噪音。（3）长江电力在10/5参数下表现最优，超额收益+8.48%，胜率50%，短周期通道更适合波动较小的公用事业股。（4）总体而言，中周期参数（10/5、15/7、20/10）在多数股票上表现均衡，是海龟策略的推荐参数区间。</w:t>
      </w:r>
    </w:p>
    <w:p>
      <w:pPr>
        <w:spacing w:before="120" w:after="0"/>
        <w:jc w:val="center"/>
      </w:pPr>
      <w:r>
        <w:drawing>
          <wp:inline xmlns:a="http://schemas.openxmlformats.org/drawingml/2006/main" xmlns:pic="http://schemas.openxmlformats.org/drawingml/2006/picture">
            <wp:extent cx="5040000" cy="2252960"/>
            <wp:docPr id="8" name="Picture 8"/>
            <wp:cNvGraphicFramePr>
              <a:graphicFrameLocks noChangeAspect="1"/>
            </wp:cNvGraphicFramePr>
            <a:graphic>
              <a:graphicData uri="http://schemas.openxmlformats.org/drawingml/2006/picture">
                <pic:pic>
                  <pic:nvPicPr>
                    <pic:cNvPr id="0" name="heatmap_multi_param.png"/>
                    <pic:cNvPicPr/>
                  </pic:nvPicPr>
                  <pic:blipFill>
                    <a:blip r:embed="rId16"/>
                    <a:stretch>
                      <a:fillRect/>
                    </a:stretch>
                  </pic:blipFill>
                  <pic:spPr>
                    <a:xfrm>
                      <a:off x="0" y="0"/>
                      <a:ext cx="5040000" cy="2252960"/>
                    </a:xfrm>
                    <a:prstGeom prst="rect"/>
                  </pic:spPr>
                </pic:pic>
              </a:graphicData>
            </a:graphic>
          </wp:inline>
        </w:drawing>
      </w:r>
    </w:p>
    <w:p>
      <w:pPr>
        <w:spacing w:line="360" w:lineRule="auto" w:before="0" w:after="120"/>
        <w:jc w:val="center"/>
      </w:pPr>
      <w:r>
        <w:rPr>
          <w:rFonts w:ascii="宋体" w:hAnsi="宋体" w:eastAsia="宋体"/>
          <w:b/>
          <w:sz w:val="20"/>
        </w:rPr>
        <w:t>图8 多股票 x 多参数超额收益热力图（红色=跑赢买入持有，绿色=跑输买入持有）</w:t>
      </w:r>
    </w:p>
    <w:p>
      <w:pPr>
        <w:spacing w:line="360" w:lineRule="auto" w:before="0" w:after="0"/>
        <w:ind w:firstLine="0"/>
        <w:jc w:val="left"/>
      </w:pPr>
      <w:r>
        <w:rPr>
          <w:rFonts w:ascii="宋体" w:hAnsi="宋体" w:eastAsia="宋体"/>
          <w:b/>
          <w:sz w:val="21"/>
        </w:rPr>
        <w:t>五、总结与使用心得</w:t>
      </w:r>
    </w:p>
    <w:p>
      <w:pPr>
        <w:spacing w:line="360" w:lineRule="auto" w:before="0" w:after="0"/>
        <w:ind w:firstLine="420"/>
        <w:jc w:val="both"/>
      </w:pPr>
      <w:r>
        <w:rPr>
          <w:rFonts w:ascii="宋体" w:hAnsi="宋体" w:eastAsia="宋体"/>
          <w:b w:val="0"/>
          <w:sz w:val="21"/>
        </w:rPr>
        <w:t>通过本次 TASK4 的编程实践，我对海龟交易策略有了更深入的理解。海龟策略并非一个"完美"的策略，但它提供了一套完整、可执行、可验证的交易框架，其精髓在于纪律性和风险控制的系统化。</w:t>
      </w:r>
    </w:p>
    <w:p>
      <w:pPr>
        <w:spacing w:line="360" w:lineRule="auto" w:before="0" w:after="0"/>
        <w:ind w:firstLine="420"/>
        <w:jc w:val="both"/>
      </w:pPr>
      <w:r>
        <w:rPr>
          <w:rFonts w:ascii="宋体" w:hAnsi="宋体" w:eastAsia="宋体"/>
          <w:b w:val="0"/>
          <w:sz w:val="21"/>
        </w:rPr>
        <w:t>从回测结果来看，海龟策略在趋势性较强的市场中表现优异。本次回测期内A股整体处于下跌趋势，但海龟策略通过通道突破信号和动态止损，在多数参数组合下均跑赢了买入持有策略。其中中国平安在20/10参数下实现正收益+2.43%，而同期买入持有亏损-15.96%，超额收益达+18.40%，充分体现了趋势跟踪策略在波动市场中的优势。但在震荡市中，由于频繁假突破，策略可能面临多次小额亏损，此时需要通过更严格的过滤条件或结合其他指标进行优化。</w:t>
      </w:r>
    </w:p>
    <w:p>
      <w:pPr>
        <w:spacing w:line="360" w:lineRule="auto" w:before="0" w:after="0"/>
        <w:ind w:firstLine="420"/>
        <w:jc w:val="both"/>
      </w:pPr>
      <w:r>
        <w:rPr>
          <w:rFonts w:ascii="宋体" w:hAnsi="宋体" w:eastAsia="宋体"/>
          <w:b w:val="0"/>
          <w:sz w:val="21"/>
        </w:rPr>
        <w:t>参数调节方面，通道周期是影响策略表现的关键因素。本次24组交叉回测显示，不同股票的最优参数并不相同：长江电力最优为10/5（超额+8.48%），贵州茅台最优为55/20（超额+12.38%），中国平安最优为20/10（超额+18.40%）。较短的周期灵敏度更高，适合波动较小的标的；较长的周期稳健性更好，适合波动较大的标的。在实际应用中，可以结合多个系统（如同时运行20/10和55/20）来分散单一参数的风险。</w:t>
      </w:r>
    </w:p>
    <w:p>
      <w:pPr>
        <w:spacing w:line="360" w:lineRule="auto" w:before="0" w:after="0"/>
        <w:ind w:firstLine="420"/>
        <w:jc w:val="both"/>
      </w:pPr>
      <w:r>
        <w:rPr>
          <w:rFonts w:ascii="宋体" w:hAnsi="宋体" w:eastAsia="宋体"/>
          <w:b w:val="0"/>
          <w:sz w:val="21"/>
        </w:rPr>
        <w:t>ATR 是海龟策略最精妙的部分。它不仅是仓位管理的工具，更是连接市场波动与风险控制的桥梁。通过 ATR 动态调整仓位和止损，策略实现了风险暴露的自适应，这是许多传统固定止损策略所不具备的优势。</w:t>
      </w:r>
    </w:p>
    <w:p>
      <w:pPr>
        <w:spacing w:line="360" w:lineRule="auto" w:before="0" w:after="0"/>
        <w:ind w:firstLine="420"/>
        <w:jc w:val="both"/>
      </w:pPr>
      <w:r>
        <w:rPr>
          <w:rFonts w:ascii="宋体" w:hAnsi="宋体" w:eastAsia="宋体"/>
          <w:b w:val="0"/>
          <w:sz w:val="21"/>
        </w:rPr>
        <w:t>总结而言，海龟策略的适应场景主要包括：（1）具有明显趋势特征的市场；（2）波动率适中且稳定的交易品种；（3）投资者能够严格执行规则的交易环境。使用心得是：策略本身只是工具，纪律执行才是生命线。无论策略多么优秀，如果不能严格执行止损和出场规则，最终都会在市场波动中遭受重创。</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