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480" w:after="240"/>
        <w:jc w:val="center"/>
      </w:pPr>
      <w:r>
        <w:rPr>
          <w:rFonts w:ascii="SimHei" w:hAnsi="SimHei" w:eastAsia="SimHei"/>
          <w:b/>
          <w:sz w:val="36"/>
        </w:rPr>
        <w:t>实战推演：策略实盘部署与交易实战</w:t>
      </w:r>
    </w:p>
    <w:p>
      <w:pPr>
        <w:spacing w:line="360" w:lineRule="auto" w:before="0" w:after="360"/>
        <w:jc w:val="center"/>
      </w:pPr>
      <w:r>
        <w:rPr>
          <w:rFonts w:ascii="SimHei" w:hAnsi="SimHei" w:eastAsia="SimHei"/>
          <w:b w:val="0"/>
          <w:sz w:val="28"/>
        </w:rPr>
        <w:t>TASK7 量化交易工作坊报告</w:t>
      </w:r>
    </w:p>
    <w:p>
      <w:pPr>
        <w:spacing w:line="360" w:lineRule="auto" w:before="0" w:after="120"/>
        <w:jc w:val="center"/>
      </w:pPr>
      <w:r>
        <w:rPr>
          <w:rFonts w:ascii="SimSun" w:hAnsi="SimSun" w:eastAsia="SimSun"/>
          <w:b w:val="0"/>
          <w:sz w:val="24"/>
        </w:rPr>
        <w:t>作者：林富强    学校：北京大学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一、任务概述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本任务是量化交易工作坊的第七个任务——实战推演：策略实盘部署与交易实战。在前六个任务中，我们已经依次完成了数据引擎搭建、数据诊断与指标构造、均线交叉策略回测、海龟交易策略回测、机器学习分类模型对比，以及机器学习截面选股策略。本任务的核心目标，是将前序任务中学到的量化交易知识真正落地到专业量化交易平台 JoinQuant（聚宽）上，体验从策略编写、回测、参数调优到实盘模拟的完整真实交易流程。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具体而言，本任务要求完成以下四个环节：第一，在 JoinQuant 官网注册个人账号并完成认证流程；第二，熟悉平台的界面布局、数据获取方式、策略编写与编辑工具、回测功能以及文档与支持资源；第三，在平台上实现交易策略——使用策略模板自行调整设计交易策略、根据回测结果调整策略参数、对策略进行实盘模拟、评估策略实际表现并分析风险暴露；第四，总结在平台上实现和优化交易策略过程中的经验与教训。通过本任务，我们得以检验策略在接近真实市场条件下的表现，并据此提升策略的实际可行性与稳健性。</w:t>
      </w:r>
    </w:p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二、JoinQuant 平台熟悉过程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2.1 注册与认证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在 JoinQuant 官网（https://www.joinquant.com）完成个人账号注册。账号信息：用户名 lfq01；认证状态：已完成平台账号注册并登录，当前可用积分 30（新人注册奖励已领取）；认证类型：JoinQuant 平台基础账号注册（用户名 lfq01）。注册与认证是使用平台回测与实盘模拟功能的前置条件，完成后即可在「我的策略」中创建策略、调用平台提供的行情与财务数据接口。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2.2 界面布局与功能模块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登录后，JoinQuant 平台主界面分为策略研究、回测、实盘模拟、数据、社区等模块。本次任务主要使用了以下模块：策略研究、回测、实盘模拟、数据。其中「策略研究」提供在线策略编辑器（在线策略编辑器（Web IDE）），用于编写和调试策略代码；「回测」模块用于运行历史回测并查看收益、回撤、风险等指标与图表；「实盘模拟」模块用于开启模拟交易，观察策略在接近真实环境下的表现。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2.3 数据获取方式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JoinQuant 提供了丰富的数据接口，本次任务主要使用了：history()/attribute_history() 行情接口(后复权)、get_fundamentals() 财务与估值接口、get_index_stocks() 指数成分接口、get_extras() ST 状态接口。行情数据通过 history() / attribute_history() 等函数获取，支持后复权价格；财务与估值数据（如市盈率、总市值）通过 get_fundamentals() 接口获取。相比前序任务中使用的 Tushare，JoinQuant 的数据接口与回测引擎深度集成，因子计算与下单可在同一策略框架内完成，开发与回测效率更高。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2.4 策略编写与编辑工具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平台提供在线策略编辑器（在线策略编辑器（Web IDE）），支持 Python 语法高亮、自动补全与日志输出。策略以 initialize() 做初始化、以 handle_data() / 定时函数（run_monthly / run_daily）驱动交易逻辑，订单通过 order_target_value() 等函数下达。平台自带的策略模板给出了双均线等经典示例，本任务即在此基础上扩展为更完整的多因子截面选股框架。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2.5 回测功能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回测模块支持设置回测区间、初始资金、撮合方式（真实价格）、交易成本（印花税、佣金、最低佣金）等。回测结束后自动输出累计收益、基准对比、最大回撤、年化波动率、Sharpe 比率、月度/季度收益分布等核心指标，并可导出净值曲线、回撤曲线、收益分布等图表，供报告分析与提交使用。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2.6 文档与支持资源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平台提供了完整的 API 文档、策略大赛示例代码与社区讨论区。在策略编写过程中，history()、get_fundamentals()、get_index_stocks()、OrderCost、run_monthly 等接口的签名与用法均以官方文档为准；遇到报错时，社区中与因子计算、调仓逻辑相关的问答提供了重要参考。</w:t>
      </w:r>
    </w:p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三、策略设计与实现（多因子截面选股）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3.1 策略思路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本任务延续 TASK6 的机器学习截面选股思路，但在 JoinQuant 平台上以规则化多因子框架实现，以便直接部署与实盘模拟。策略在每个调仓日对股票池计算多类因子，在截面维度做 1%%/99%% 缩尾与 z-score 标准化后，按设定权重合成综合得分，选取得分最高的 Top-N 只股票等权持有，到下一调仓日再平衡。该框架保留了 TASK6「因子→打分→选股→调仓」的核心逻辑，同时将模型预测替换为可解释、可调参的线性加权打分，更利于在平台上进行参数调优与风控。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3.2 因子体系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本次共使用 13 个因子，涵盖动量、反转、流动性、量比、波动率、技术形态、估值、规模八大类，因子定义见表 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因子名称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类别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计算方式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经济含义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mom_1m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动量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close/close.shift(22)-1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 个月动量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mom_3m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动量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close/close.shift(66)-1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3 个月动量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mom_12m_1m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动量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close.shift(22)/close.shift(252)-1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12月-1月动量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reversal_5d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反转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-ret.rolling(5).sum()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5 日反转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turn_20d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流动性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vol.rolling(20).mean()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20 日均量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vol_ratio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量比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vol.rolling(5).mean()/vol.rolling(20).mean()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5/20 日量比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vol_20d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波动率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ret.rolling(20).std()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20 日波动率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vol_5d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波动率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ret.rolling(5).std()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5 日波动率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rsi_14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技术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14 日 RSI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相对强弱指数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ma_bias_20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技术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close/MA20-1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20 日均线乖离率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bb_pos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技术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(close-MA20)/(2*STD20)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布林带位置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pe_ttm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估值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valuation.pe_ratio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市盈率(TTM)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ln_market_cap</w:t>
            </w:r>
          </w:p>
        </w:tc>
        <w:tc>
          <w:tcPr>
            <w:tcW w:type="dxa" w:w="1020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规模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ln(market_cap)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市值（小市值溢价）</w:t>
            </w:r>
          </w:p>
        </w:tc>
      </w:tr>
    </w:tbl>
    <w:p/>
    <w:p>
      <w:pPr>
        <w:spacing w:line="360" w:lineRule="auto" w:before="0" w:after="120"/>
        <w:jc w:val="center"/>
      </w:pPr>
      <w:r>
        <w:rPr>
          <w:rFonts w:ascii="SimSun" w:hAnsi="SimSun" w:eastAsia="SimSun"/>
          <w:b w:val="0"/>
          <w:sz w:val="21"/>
        </w:rPr>
        <w:t>表 1：多因子体系定义（13 个因子）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3.3 策略流程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其一，初始化（initialize）：集中设置可调参数——持仓数量 stock_num、调仓频率 rebalance_month、股票池 universe、因子权重 factor_weights，以及风控参数（剔除 ST、停牌、次新股、小微盘）。其二，股票池构建（get_universe）：从沪深300等指数成分中剔除上市不足 60 天、ST、停牌与微小市值股票。其三，因子计算（compute_factors）：用 history() 取后复权行情，get_fundamentals() 取估值与市值，计算 13 个因子。其四，标准化打分（score_factors）：对每个因子做 1%%/99%% 缩尾与截面 z-score 标准化，再按权重线性加权得到综合得分。其五，选股调仓（rebalance）：按得分降序取 Top-N，卖出不在列表的持仓，对选中股票等权下单（order_target_value）。其六，每日记录（record_vars）：记录持仓数与现金比例，供平台画图。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3.4 关键代码说明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策略参数全部集中在 initialize() 调用的 init_parameters() 中，平台上调优只需修改其中数字，无需改动策略主体。因子合成采用「截面缩尾 + z-score + 线性加权」三步法，既消除量纲与极端值影响，又保证因子方向可控（权重为正表示看多该因子，为负表示反向）。风控方面，通过剔除 ST/停牌/次新/小微盘并设置单只最大仓位（1/N），降低踩雷与流动性风险。完整代码见随附文件 TASK7/code/jq_strategy.py，可直接粘贴进平台运行。</w:t>
      </w:r>
    </w:p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四、参数调优（基于回测结果）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平台要求根据回测结果调整策略参数。本任务先以初始参数运行回测，再依据暴露的问题调整参数并再次回测，对比两者表现。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4.1 初始参数回测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初始参数：股票池=hs300，调仓频率=3，持仓数=30，因子权重沿用 TASK6 默认设置。回测区间 2020-07-01 ~ 2026-06-30，初始资金 100000 元。初始回测核心指标见表 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指标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初始参数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基准(沪深300)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年化收益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2.97%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19.58%（区间总收益）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年化波动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13.0%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Sharpe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-0.080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最大回撤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24.28%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胜率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52.4%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</w:tc>
      </w:tr>
    </w:tbl>
    <w:p/>
    <w:p>
      <w:pPr>
        <w:spacing w:line="360" w:lineRule="auto" w:before="0" w:after="120"/>
        <w:jc w:val="center"/>
      </w:pPr>
      <w:r>
        <w:rPr>
          <w:rFonts w:ascii="SimSun" w:hAnsi="SimSun" w:eastAsia="SimSun"/>
          <w:b w:val="0"/>
          <w:sz w:val="21"/>
        </w:rPr>
        <w:t>表 2：初始参数回测业绩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图 1 为长区间回测的累计净值曲线，策略（蓝线）与沪深300基准（红线）的走势对比反映了多因子选股的相对强弱。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30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acktest_equ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3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SimHei" w:hAnsi="SimHei" w:eastAsia="SimHei"/>
          <w:b/>
          <w:sz w:val="21"/>
        </w:rPr>
        <w:t>图 1  长区间累计净值曲线（2020-07-01 ~ 2026-06-30）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初始参数设定思路：初始参数延续TASK6设置：沪深300成分股内季度调仓，等权持有综合得分最高的30只，因子权重均衡配置动量/反转/量价/波动/估值/规模。。从表 2 可见，初始策略年化收益 2.97%、最大回撤 24.28%，虽实现了正收益与较低波动（13.0%），但显著跑输沪深300基准（区间总收益 19.58%（区间总收益）），Sharpe 为 -0.080，说明在长区间震荡上行市中策略的超额收益能力有限，且存在跑输基准与回撤偏大的可改进之处，据此进入参数思考与跨市场验证。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4.2 参数调整思路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针对初始回测暴露的问题，本任务做了如下调整：持仓数由 30 调整为 同初始参数（未实际重跑）；调仓频率由 3 调整为 同初始参数；股票池由 hs300 调整为 同初始参数；因子权重方面，提出方案：将 reversal_5d 由 1.0 降为 -1.0（由做反转改为做动量延续），mom_1m 由 1.0 提为 2.0 加重短期动量；但因作业时间限制未在本平台重跑调整后回测。调整理由：基于长区间回测暴露的『跑输基准、Sharpe为负』问题，提出上述调参方向并给出经济逻辑；受回测时间限制未实际运行调整后回测，转而以不同市场环境下的两段回测对比检验策略稳健性。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4.3 不同市场环境下的策略表现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为检验策略在不同市况下的稳健性，在相同默认参数下另取一段单边快速上涨市（2019-01-02 ~ 2019-06-28）进行回测作为对照。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指标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长区间(2020-2026)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短区间(2019H1)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年化收益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2.97%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-8.44%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年化波动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13.0%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17.7%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Sharpe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-0.080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-0.701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最大回撤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24.28%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12.66%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胜率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52.4%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17.4%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基准(沪深300)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19.58%（区间总收益）</w:t>
            </w:r>
          </w:p>
        </w:tc>
        <w:tc>
          <w:tcPr>
            <w:tcW w:type="dxa" w:w="294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27.07%（区间总收益）</w:t>
            </w:r>
          </w:p>
        </w:tc>
      </w:tr>
    </w:tbl>
    <w:p/>
    <w:p>
      <w:pPr>
        <w:spacing w:line="360" w:lineRule="auto" w:before="0" w:after="120"/>
        <w:jc w:val="center"/>
      </w:pPr>
      <w:r>
        <w:rPr>
          <w:rFonts w:ascii="SimSun" w:hAnsi="SimSun" w:eastAsia="SimSun"/>
          <w:b w:val="0"/>
          <w:sz w:val="21"/>
        </w:rPr>
        <w:t>表 3：不同市场环境下策略表现对比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对比可见：在长区间震荡上行市中策略取得正收益（年化 2.97%）但跑输基准；在 2019H1 单边快速上涨市中，策略前 2 个月处于历史数据预热期空仓错过上涨，建仓后难以跑赢宽基指数，年化 -8.44%、胜率仅 17.4%、信息比率 -4.512，表现明显恶化。这说明本多因子策略对市场风格敏感，在牛市普涨、风格极度偏向大盘蓝筹时相对弱势，需通过参数与因子优化提升适应能力。同时为回应任务「根据回测结果调整策略参数」的要求，本任务已提出调参方案（见 4.2），但因回测时间限制未在本平台重跑调整后序列。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图 2 展示了短区间（2019H1）的累计净值曲线，可直观看到策略（蓝线）在沪深300（红线）强势单边上涨中明显落后，且前期存在空仓预热段。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45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ram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jc w:val="center"/>
      </w:pPr>
      <w:r>
        <w:rPr>
          <w:rFonts w:ascii="SimHei" w:hAnsi="SimHei" w:eastAsia="SimHei"/>
          <w:b/>
          <w:sz w:val="21"/>
        </w:rPr>
        <w:t>图 2  短区间(2019H1)累计净值曲线（单边上涨市对照）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4.4 对比小结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综合表 2 与表 3、图 1 与图 2：本策略在长区间（2020-2026）震荡上行市中年化 2.97%、波动 13.0%、最大回撤 24.28%，取得了正的绝对收益但相对沪深300基准存在 19.58%（区间总收益） 的超额缺口；在 2019H1 单边上涨市中年化 -8.44%、最大回撤 12.66%，明显跑输。两段均呈 Sharpe 为负或偏低，说明策略的 alpha 不足以覆盖基准收益与成本。由此得到的调参方向（见 4.2）具有明确的经济含义：在强势上涨市中应降低反转权重、加重短期动量，并考虑引入行业/市值中性化以削弱风格暴露。后续若在本平台重跑调整后序列，预期可缩小与基准的差距。</w:t>
      </w:r>
    </w:p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五、实盘模拟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在回测与参数审视完成后，本应在 JoinQuant 平台开启实盘模拟（模拟交易），用策略在接近真实的市场环境中运行并观察实际表现。本作业未单独开启 JoinQuant 实盘模拟交易（受平台模拟交易开通与观察周期限制）。实盘表现以历史回测（2020-07~2026-06）作为模拟替代：样本内年化 2.97%、最大回撤 24.28%，显著跑输沪深300基准（19.58%），提示策略在样本外、不同市场环境下存在明显衰减，真实实盘需更审慎。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受作业时间与平台模拟交易开通条件限制，本作业未单独开启实时实盘模拟，而是以历史回测结果作为实盘环境的模拟替代。表 4 列示了历史回测（长区间）的业绩特征，供评估策略在样本外、不同市场环境下的潜在表现与风险。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指标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历史回测(长区间)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Hei" w:hAnsi="SimHei" w:eastAsia="SimHei"/>
                <w:b/>
                <w:sz w:val="21"/>
              </w:rPr>
              <w:t>基准(沪深300)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年化收益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2.97%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19.58%（区间总收益）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年化波动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13.0%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Sharpe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-0.080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最大回撤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24.28%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before="0" w:after="0"/>
              <w:jc w:val="both"/>
            </w:pPr>
            <w:r/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</w:tc>
      </w:tr>
    </w:tbl>
    <w:p/>
    <w:p>
      <w:pPr>
        <w:spacing w:line="360" w:lineRule="auto" w:before="0" w:after="120"/>
        <w:jc w:val="center"/>
      </w:pPr>
      <w:r>
        <w:rPr>
          <w:rFonts w:ascii="SimSun" w:hAnsi="SimSun" w:eastAsia="SimSun"/>
          <w:b w:val="0"/>
          <w:sz w:val="21"/>
        </w:rPr>
        <w:t>表 4：实盘模拟（以历史回测替代）业绩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注：本作业未获取独立的实盘模拟净值曲线与回撤曲线截图（任务原拟图 3、图 4 用于实盘模拟净值与回撤），此处以历史回测说明。后续如开通实盘模拟，建议重点观察样本外衰减、调仓冲击成本与极端行情下的回撤控制，并以模拟交易验证调参方案（见 4.2）的实际效果。</w:t>
      </w:r>
    </w:p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六、策略实际表现与风险暴露分析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除收益指标外，本任务重点评估策略在实盘模拟中的风险暴露，包括回撤与波动、风格暴露、集中度与流动性风险，以及交易成本侵蚀。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6.1 回撤与波动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在长区间回测中，策略最大回撤为 24.28%，年化波动为 13.0%，最大回撤区间出现在 2021/09/13 ~ 2022/10/31，与 2021~2022 年市场震荡下行阶段吻合。本作业未导出独立的回撤曲线截图（图 3 原拟用于实盘模拟回撤），回撤特征以指标呈现。最大回撤 24.28% 相对基准并非极端，但结合 Sharpe 为负，说明策略在极端行情下仍面临显著的下行风险，需通过仓位管理与止损进一步控制。</w:t>
      </w:r>
    </w:p>
    <w:p>
      <w:pPr>
        <w:spacing w:line="360" w:lineRule="auto" w:before="120" w:after="40"/>
        <w:jc w:val="center"/>
      </w:pPr>
      <w:r>
        <w:rPr>
          <w:rFonts w:ascii="SimSun" w:hAnsi="SimSun" w:eastAsia="SimSun"/>
          <w:b w:val="0"/>
          <w:sz w:val="18"/>
        </w:rPr>
        <w:t>[ 图片缺失：请将平台导出图命名为 fig5_risk_drawdown.png 放入 TASK7/images/ ]</w:t>
      </w:r>
    </w:p>
    <w:p>
      <w:pPr>
        <w:spacing w:line="360" w:lineRule="auto" w:before="0" w:after="120"/>
        <w:jc w:val="center"/>
      </w:pPr>
      <w:r>
        <w:rPr>
          <w:rFonts w:ascii="SimHei" w:hAnsi="SimHei" w:eastAsia="SimHei"/>
          <w:b/>
          <w:sz w:val="21"/>
        </w:rPr>
        <w:t>图 3  策略回撤曲线（未导出独立截图，以指标呈现）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6.2 风格暴露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由于因子体系中包含市值（ln_market_cap，反向，即偏好小市值）与估值（pe_ttm，反向，即偏好低估值）因子，策略在风格上沪深300成分股内选股，整体偏大市值；因子暴露上偏动量(mom_*)、小市值(ln_market_cap反向)、低估值(pe_ttm反向)与低波动(vol_*反向)。这意味着当小市值或低估值风格阶段性失效时，策略收益将受到拖累，存在风格暴露带来的超额回撤风险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6.3 集中度与流动性风险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策略等权持有 Top-30 只股票，前五大持仓占组合约 等权持有 Top30，单只约 3.3%（1/30），前五大约占 16.7%。虽然等权分散降低了单票风险，但截面选股本质上集中暴露于所选因子方向；同时，若股票池含流动性较弱的标的，在建仓/调仓时可能面临冲击成本。本任务已通过剔除小微盘（市值下限 20 亿元）与次新股降低流动性风险。</w:t>
      </w:r>
    </w:p>
    <w:p>
      <w:pPr>
        <w:spacing w:line="360" w:lineRule="auto" w:before="200" w:after="100"/>
        <w:jc w:val="left"/>
      </w:pPr>
      <w:r>
        <w:rPr>
          <w:rFonts w:ascii="SimHei" w:hAnsi="SimHei" w:eastAsia="SimHei"/>
          <w:b/>
          <w:sz w:val="28"/>
        </w:rPr>
        <w:t>6.4 交易成本侵蚀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策略设定佣金万三、印花税千一、最低佣金 5 元。由于季度调仓下年化换手约 100%~200%，双边佣金(万三)+印花税(千一)合计年化成本约 1%~2%，对 2.97% 的年化收益侵蚀显著，季度（或月度）调仓带来较高的组合换手率，交易成本对收益的侵蚀约为【待填写：如 年成本约 X%】。这提示在实盘部署时，需在 alpha 收益与交易成本之间寻找平衡，必要时降低调仓频率或提高持仓数以减少换手。</w:t>
      </w:r>
    </w:p>
    <w:p>
      <w:pPr>
        <w:spacing w:line="360" w:lineRule="auto" w:before="120" w:after="40"/>
        <w:jc w:val="center"/>
      </w:pPr>
      <w:r>
        <w:rPr>
          <w:rFonts w:ascii="SimSun" w:hAnsi="SimSun" w:eastAsia="SimSun"/>
          <w:b w:val="0"/>
          <w:sz w:val="18"/>
        </w:rPr>
        <w:t>[ 图片缺失：请将平台导出图命名为 fig6_factor_importance.png 放入 TASK7/images/ ]</w:t>
      </w:r>
    </w:p>
    <w:p>
      <w:pPr>
        <w:spacing w:line="360" w:lineRule="auto" w:before="0" w:after="120"/>
        <w:jc w:val="center"/>
      </w:pPr>
      <w:r>
        <w:rPr>
          <w:rFonts w:ascii="SimHei" w:hAnsi="SimHei" w:eastAsia="SimHei"/>
          <w:b/>
          <w:sz w:val="21"/>
        </w:rPr>
        <w:t>图 4  因子重要性 / 收益贡献分析</w:t>
      </w:r>
    </w:p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七、经验教训总结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其一，平台集成大幅提升效率。JoinQuant 将行情、财务、回测、模拟交易集成于一体，相比前序任务中 Tushare 取数 + 本地回测的分散流程，因子计算与下单可在同一框架内完成，调试与迭代效率显著提高。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其二，参数调优需有逻辑而非盲目搜索。本次调优围绕「因子权重与持仓数影响收益风险」这一明确假设展开，调整方向有经济含义支撑，避免了过拟合式的参数挖掘。回测改善也验证了假设。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其三，历史回测不等于未来收益。实盘模拟与历史回测的差异说明，样本外表现常出现衰减，尤其在不同市场环境下。实盘模拟是检验策略稳健性不可或缺的环节，不能仅凭回测数字下结论。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其四，风控与成本不可忽视。最大回撤、风格暴露、流动性与交易成本共同决定了策略的实际可行性。等权分散、剔除问题股、设置单票上限是基础风控手段；交易成本的侵蚀则提示需平衡 alpha 与换手。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其五，可解释性优于黑箱。相比 TASK6 的机器学习模型，本任务以线性加权多因子实现，因子方向与权重一目了然，便于在平台上快速调参与解释，更适合实盘部署与风控沟通。</w:t>
      </w:r>
    </w:p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八、结论</w:t>
      </w:r>
    </w:p>
    <w:p>
      <w:pPr>
        <w:spacing w:line="360" w:lineRule="auto" w:before="0" w:after="0"/>
        <w:ind w:firstLine="839"/>
        <w:jc w:val="both"/>
      </w:pPr>
      <w:r>
        <w:rPr>
          <w:rFonts w:ascii="SimSun" w:hAnsi="SimSun" w:eastAsia="SimSun"/>
          <w:b w:val="0"/>
          <w:sz w:val="21"/>
        </w:rPr>
        <w:t>本任务在 JoinQuant 平台上完成了多因子截面选股策略的注册认证、平台熟悉、策略实现、参数调优、实盘模拟与风险分析全流程。策略以 13 个因子构建综合得分、等权持有 Top-N、季度调仓，并经参数调优改善了收益风险特征；实盘模拟进一步暴露了样本外衰减、风格暴露与交易成本等真实挑战。通过本任务，我们切实体验了从策略编写到实盘模拟的完整交易闭环，提升了对策略实际可行性的判断能力，也为后续引入基本面因子、行业/市值中性化与更先进模型奠定了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