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宋体" w:hAnsi="宋体" w:eastAsia="宋体"/>
          <w:b/>
          <w:sz w:val="32"/>
        </w:rPr>
        <w:t>AI交易引擎：机器学习算法与场景应用</w:t>
      </w:r>
    </w:p>
    <w:p>
      <w:pPr>
        <w:spacing w:line="360" w:lineRule="auto" w:before="0" w:after="0"/>
        <w:jc w:val="center"/>
      </w:pPr>
      <w:r>
        <w:rPr>
          <w:rFonts w:ascii="宋体" w:hAnsi="宋体" w:eastAsia="宋体"/>
          <w:b/>
          <w:sz w:val="28"/>
        </w:rPr>
        <w:t>TASK5 作业报告</w:t>
      </w:r>
    </w:p>
    <w:p>
      <w:pPr>
        <w:spacing w:line="360" w:lineRule="auto" w:before="0" w:after="0"/>
        <w:jc w:val="center"/>
      </w:pPr>
      <w:r>
        <w:rPr>
          <w:rFonts w:ascii="宋体" w:hAnsi="宋体" w:eastAsia="宋体"/>
          <w:sz w:val="21"/>
        </w:rPr>
        <w:t>姓名：林富强</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摘要</w:t>
      </w:r>
    </w:p>
    <w:p>
      <w:pPr>
        <w:spacing w:line="360" w:lineRule="auto" w:before="0" w:after="0"/>
        <w:ind w:firstLine="420"/>
        <w:jc w:val="both"/>
      </w:pPr>
      <w:r>
        <w:rPr>
          <w:rFonts w:ascii="宋体" w:hAnsi="宋体" w:eastAsia="宋体"/>
          <w:b w:val="0"/>
          <w:sz w:val="21"/>
        </w:rPr>
        <w:t>本报告围绕机器学习算法在量化交易中的应用展开，包含三个部分：第一部分系统阐述线性回归、逻辑回归、决策树、随机森林和KNN五种经典机器学习算法的原理、优缺点及金融应用场景；第二部分解释混淆矩阵、AUC、ROC曲线等模型评价指标的概念与计算方法；第三部分通过Python编程实践，分别在scikit-learn乳腺癌数据集和长江电力（600900.SH）股票日线数据上进行二分类实验，构建并训练五种模型，计算AUC指标并绘制ROC曲线。实验结果表明，机器学习模型在结构化医学数据上表现优异（AUC最高达0.995），而在金融时间序列数据上的预测效果则受到市场有效性的挑战，这一对比结果对理解机器学习在量化交易中的适用边界具有重要参考意义。</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一、引言</w:t>
      </w:r>
    </w:p>
    <w:p>
      <w:pPr>
        <w:spacing w:line="360" w:lineRule="auto" w:before="0" w:after="0"/>
        <w:ind w:firstLine="0"/>
        <w:jc w:val="left"/>
      </w:pPr>
      <w:r>
        <w:rPr>
          <w:rFonts w:ascii="宋体" w:hAnsi="宋体" w:eastAsia="宋体"/>
          <w:b/>
          <w:sz w:val="21"/>
        </w:rPr>
        <w:t>1.1 任务背景</w:t>
      </w:r>
    </w:p>
    <w:p>
      <w:pPr>
        <w:spacing w:line="360" w:lineRule="auto" w:before="0" w:after="0"/>
        <w:ind w:firstLine="420"/>
        <w:jc w:val="both"/>
      </w:pPr>
      <w:r>
        <w:rPr>
          <w:rFonts w:ascii="宋体" w:hAnsi="宋体" w:eastAsia="宋体"/>
          <w:b w:val="0"/>
          <w:sz w:val="21"/>
        </w:rPr>
        <w:t>机器学习算法在量化交易领域的应用日益广泛，它能够帮助交易者从海量数据中挖掘有价值的信息，构建更精准的预测模型，从而优化交易策略。在传统的量化分析中，交易者主要依赖统计指标和技术分析进行决策，而机器学习通过自动学习数据中的复杂模式，为交易决策提供了新的方法论。</w:t>
      </w:r>
    </w:p>
    <w:p>
      <w:pPr>
        <w:spacing w:line="360" w:lineRule="auto" w:before="0" w:after="0"/>
        <w:ind w:firstLine="420"/>
        <w:jc w:val="both"/>
      </w:pPr>
      <w:r>
        <w:rPr>
          <w:rFonts w:ascii="宋体" w:hAnsi="宋体" w:eastAsia="宋体"/>
          <w:b w:val="0"/>
          <w:sz w:val="21"/>
        </w:rPr>
        <w:t>分类问题是机器学习中最基础也最常见的问题类型之一。在金融领域，股票涨跌方向预测、信用违约风险评估、客户流失预测等问题都可以转化为分类问题。本任务聚焦于基础的机器学习算法，通过理论与实践相结合的方式，深入理解分类算法的原理、评价指标以及在实际数据上的应用效果。</w:t>
      </w:r>
    </w:p>
    <w:p>
      <w:pPr>
        <w:spacing w:line="360" w:lineRule="auto" w:before="0" w:after="0"/>
        <w:ind w:firstLine="0"/>
        <w:jc w:val="left"/>
      </w:pPr>
      <w:r>
        <w:rPr>
          <w:rFonts w:ascii="宋体" w:hAnsi="宋体" w:eastAsia="宋体"/>
          <w:b/>
          <w:sz w:val="21"/>
        </w:rPr>
        <w:t>1.2 学习目标</w:t>
      </w:r>
    </w:p>
    <w:p>
      <w:pPr>
        <w:spacing w:line="360" w:lineRule="auto" w:before="0" w:after="0"/>
        <w:ind w:firstLine="420"/>
        <w:jc w:val="both"/>
      </w:pPr>
      <w:r>
        <w:rPr>
          <w:rFonts w:ascii="宋体" w:hAnsi="宋体" w:eastAsia="宋体"/>
          <w:b w:val="0"/>
          <w:sz w:val="21"/>
        </w:rPr>
        <w:t>（1）理解线性回归、逻辑回归、决策树、随机森林、KNN等机器学习算法的核心思想和适用场景；（2）掌握混淆矩阵、AUC、ROC曲线等模型评价指标的计算方法和解读能力；（3）通过Python编程实践，完成从数据加载、训练集划分、模型训练到模型评估的完整流程；（4）对比分析不同模型在不同数据集上的表现差异，理解机器学习在金融数据中的应用挑战。</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二、机器学习算法</w:t>
      </w:r>
    </w:p>
    <w:p>
      <w:pPr>
        <w:spacing w:line="360" w:lineRule="auto" w:before="0" w:after="0"/>
        <w:ind w:firstLine="0"/>
        <w:jc w:val="left"/>
      </w:pPr>
      <w:r>
        <w:rPr>
          <w:rFonts w:ascii="宋体" w:hAnsi="宋体" w:eastAsia="宋体"/>
          <w:b/>
          <w:sz w:val="21"/>
        </w:rPr>
        <w:t>2.1 算法总览</w:t>
      </w:r>
    </w:p>
    <w:p>
      <w:pPr>
        <w:spacing w:line="360" w:lineRule="auto" w:before="0" w:after="0"/>
        <w:ind w:firstLine="420"/>
        <w:jc w:val="both"/>
      </w:pPr>
      <w:r>
        <w:rPr>
          <w:rFonts w:ascii="宋体" w:hAnsi="宋体" w:eastAsia="宋体"/>
          <w:b w:val="0"/>
          <w:sz w:val="21"/>
        </w:rPr>
        <w:t>机器学习算法按照学习任务的不同，主要分为回归、分类和聚类三大类。在量化交易领域，回归算法用于预测连续型变量（如收益率、价格），分类算法用于预测离散型标签（如涨跌方向、违约与否），聚类算法用于发现数据中的潜在分组结构。本任务重点研究五种常见的机器学习算法，下表列出了各算法及其特点。</w:t>
      </w:r>
    </w:p>
    <w:p>
      <w:pPr>
        <w:spacing w:line="360" w:lineRule="auto" w:before="0" w:after="0"/>
        <w:jc w:val="both"/>
      </w:pPr>
      <w:r>
        <w:rPr>
          <w:rFonts w:ascii="宋体" w:hAnsi="宋体" w:eastAsia="宋体"/>
          <w:b w:val="0"/>
          <w:sz w:val="21"/>
        </w:rPr>
        <w:t>表1 五种常见机器学习算法对比</w:t>
      </w:r>
    </w:p>
    <w:tbl>
      <w:tblPr>
        <w:tblStyle w:val="TableGrid"/>
        <w:tblW w:type="auto" w:w="0"/>
        <w:tblLook w:firstColumn="1" w:firstRow="1" w:lastColumn="0" w:lastRow="0" w:noHBand="0" w:noVBand="1" w:val="04A0"/>
      </w:tblPr>
      <w:tblGrid>
        <w:gridCol w:w="2161"/>
        <w:gridCol w:w="2161"/>
        <w:gridCol w:w="2161"/>
        <w:gridCol w:w="2161"/>
      </w:tblGrid>
      <w:tr>
        <w:tc>
          <w:tcPr>
            <w:tcW w:type="dxa" w:w="2161"/>
          </w:tcPr>
          <w:p>
            <w:pPr>
              <w:spacing w:line="360" w:lineRule="auto" w:before="0" w:after="0"/>
              <w:jc w:val="center"/>
            </w:pPr>
            <w:r>
              <w:rPr>
                <w:rFonts w:ascii="宋体" w:hAnsi="宋体" w:eastAsia="宋体"/>
                <w:b/>
                <w:sz w:val="21"/>
              </w:rPr>
              <w:t>算法</w:t>
            </w:r>
          </w:p>
        </w:tc>
        <w:tc>
          <w:tcPr>
            <w:tcW w:type="dxa" w:w="2161"/>
          </w:tcPr>
          <w:p>
            <w:pPr>
              <w:spacing w:line="360" w:lineRule="auto" w:before="0" w:after="0"/>
              <w:jc w:val="center"/>
            </w:pPr>
            <w:r>
              <w:rPr>
                <w:rFonts w:ascii="宋体" w:hAnsi="宋体" w:eastAsia="宋体"/>
                <w:b/>
                <w:sz w:val="21"/>
              </w:rPr>
              <w:t>类型</w:t>
            </w:r>
          </w:p>
        </w:tc>
        <w:tc>
          <w:tcPr>
            <w:tcW w:type="dxa" w:w="2161"/>
          </w:tcPr>
          <w:p>
            <w:pPr>
              <w:spacing w:line="360" w:lineRule="auto" w:before="0" w:after="0"/>
              <w:jc w:val="center"/>
            </w:pPr>
            <w:r>
              <w:rPr>
                <w:rFonts w:ascii="宋体" w:hAnsi="宋体" w:eastAsia="宋体"/>
                <w:b/>
                <w:sz w:val="21"/>
              </w:rPr>
              <w:t>优势</w:t>
            </w:r>
          </w:p>
        </w:tc>
        <w:tc>
          <w:tcPr>
            <w:tcW w:type="dxa" w:w="2161"/>
          </w:tcPr>
          <w:p>
            <w:pPr>
              <w:spacing w:line="360" w:lineRule="auto" w:before="0" w:after="0"/>
              <w:jc w:val="center"/>
            </w:pPr>
            <w:r>
              <w:rPr>
                <w:rFonts w:ascii="宋体" w:hAnsi="宋体" w:eastAsia="宋体"/>
                <w:b/>
                <w:sz w:val="21"/>
              </w:rPr>
              <w:t>劣势</w:t>
            </w:r>
          </w:p>
        </w:tc>
      </w:tr>
      <w:tr>
        <w:tc>
          <w:tcPr>
            <w:tcW w:type="dxa" w:w="2161"/>
          </w:tcPr>
          <w:p>
            <w:pPr>
              <w:spacing w:line="360" w:lineRule="auto" w:before="0" w:after="0"/>
              <w:jc w:val="center"/>
            </w:pPr>
            <w:r>
              <w:rPr>
                <w:rFonts w:ascii="宋体" w:hAnsi="宋体" w:eastAsia="宋体"/>
                <w:b w:val="0"/>
                <w:sz w:val="21"/>
              </w:rPr>
              <w:t>线性回归</w:t>
            </w:r>
          </w:p>
        </w:tc>
        <w:tc>
          <w:tcPr>
            <w:tcW w:type="dxa" w:w="2161"/>
          </w:tcPr>
          <w:p>
            <w:pPr>
              <w:spacing w:line="360" w:lineRule="auto" w:before="0" w:after="0"/>
              <w:jc w:val="center"/>
            </w:pPr>
            <w:r>
              <w:rPr>
                <w:rFonts w:ascii="宋体" w:hAnsi="宋体" w:eastAsia="宋体"/>
                <w:b w:val="0"/>
                <w:sz w:val="21"/>
              </w:rPr>
              <w:t>回归</w:t>
            </w:r>
          </w:p>
        </w:tc>
        <w:tc>
          <w:tcPr>
            <w:tcW w:type="dxa" w:w="2161"/>
          </w:tcPr>
          <w:p>
            <w:pPr>
              <w:spacing w:line="360" w:lineRule="auto" w:before="0" w:after="0"/>
              <w:jc w:val="center"/>
            </w:pPr>
            <w:r>
              <w:rPr>
                <w:rFonts w:ascii="宋体" w:hAnsi="宋体" w:eastAsia="宋体"/>
                <w:b w:val="0"/>
                <w:sz w:val="21"/>
              </w:rPr>
              <w:t>快速、可解释</w:t>
            </w:r>
          </w:p>
        </w:tc>
        <w:tc>
          <w:tcPr>
            <w:tcW w:type="dxa" w:w="2161"/>
          </w:tcPr>
          <w:p>
            <w:pPr>
              <w:spacing w:line="360" w:lineRule="auto" w:before="0" w:after="0"/>
              <w:jc w:val="center"/>
            </w:pPr>
            <w:r>
              <w:rPr>
                <w:rFonts w:ascii="宋体" w:hAnsi="宋体" w:eastAsia="宋体"/>
                <w:b w:val="0"/>
                <w:sz w:val="21"/>
              </w:rPr>
              <w:t>只能捕捉线性关系</w:t>
            </w:r>
          </w:p>
        </w:tc>
      </w:tr>
      <w:tr>
        <w:tc>
          <w:tcPr>
            <w:tcW w:type="dxa" w:w="2161"/>
          </w:tcPr>
          <w:p>
            <w:pPr>
              <w:spacing w:line="360" w:lineRule="auto" w:before="0" w:after="0"/>
              <w:jc w:val="center"/>
            </w:pPr>
            <w:r>
              <w:rPr>
                <w:rFonts w:ascii="宋体" w:hAnsi="宋体" w:eastAsia="宋体"/>
                <w:b w:val="0"/>
                <w:sz w:val="21"/>
              </w:rPr>
              <w:t>逻辑回归</w:t>
            </w:r>
          </w:p>
        </w:tc>
        <w:tc>
          <w:tcPr>
            <w:tcW w:type="dxa" w:w="2161"/>
          </w:tcPr>
          <w:p>
            <w:pPr>
              <w:spacing w:line="360" w:lineRule="auto" w:before="0" w:after="0"/>
              <w:jc w:val="center"/>
            </w:pPr>
            <w:r>
              <w:rPr>
                <w:rFonts w:ascii="宋体" w:hAnsi="宋体" w:eastAsia="宋体"/>
                <w:b w:val="0"/>
                <w:sz w:val="21"/>
              </w:rPr>
              <w:t>分类</w:t>
            </w:r>
          </w:p>
        </w:tc>
        <w:tc>
          <w:tcPr>
            <w:tcW w:type="dxa" w:w="2161"/>
          </w:tcPr>
          <w:p>
            <w:pPr>
              <w:spacing w:line="360" w:lineRule="auto" w:before="0" w:after="0"/>
              <w:jc w:val="center"/>
            </w:pPr>
            <w:r>
              <w:rPr>
                <w:rFonts w:ascii="宋体" w:hAnsi="宋体" w:eastAsia="宋体"/>
                <w:b w:val="0"/>
                <w:sz w:val="21"/>
              </w:rPr>
              <w:t>快速、输出概率</w:t>
            </w:r>
          </w:p>
        </w:tc>
        <w:tc>
          <w:tcPr>
            <w:tcW w:type="dxa" w:w="2161"/>
          </w:tcPr>
          <w:p>
            <w:pPr>
              <w:spacing w:line="360" w:lineRule="auto" w:before="0" w:after="0"/>
              <w:jc w:val="center"/>
            </w:pPr>
            <w:r>
              <w:rPr>
                <w:rFonts w:ascii="宋体" w:hAnsi="宋体" w:eastAsia="宋体"/>
                <w:b w:val="0"/>
                <w:sz w:val="21"/>
              </w:rPr>
              <w:t>只能线性可分</w:t>
            </w:r>
          </w:p>
        </w:tc>
      </w:tr>
      <w:tr>
        <w:tc>
          <w:tcPr>
            <w:tcW w:type="dxa" w:w="2161"/>
          </w:tcPr>
          <w:p>
            <w:pPr>
              <w:spacing w:line="360" w:lineRule="auto" w:before="0" w:after="0"/>
              <w:jc w:val="center"/>
            </w:pPr>
            <w:r>
              <w:rPr>
                <w:rFonts w:ascii="宋体" w:hAnsi="宋体" w:eastAsia="宋体"/>
                <w:b w:val="0"/>
                <w:sz w:val="21"/>
              </w:rPr>
              <w:t>决策树</w:t>
            </w:r>
          </w:p>
        </w:tc>
        <w:tc>
          <w:tcPr>
            <w:tcW w:type="dxa" w:w="2161"/>
          </w:tcPr>
          <w:p>
            <w:pPr>
              <w:spacing w:line="360" w:lineRule="auto" w:before="0" w:after="0"/>
              <w:jc w:val="center"/>
            </w:pPr>
            <w:r>
              <w:rPr>
                <w:rFonts w:ascii="宋体" w:hAnsi="宋体" w:eastAsia="宋体"/>
                <w:b w:val="0"/>
                <w:sz w:val="21"/>
              </w:rPr>
              <w:t>分类/回归</w:t>
            </w:r>
          </w:p>
        </w:tc>
        <w:tc>
          <w:tcPr>
            <w:tcW w:type="dxa" w:w="2161"/>
          </w:tcPr>
          <w:p>
            <w:pPr>
              <w:spacing w:line="360" w:lineRule="auto" w:before="0" w:after="0"/>
              <w:jc w:val="center"/>
            </w:pPr>
            <w:r>
              <w:rPr>
                <w:rFonts w:ascii="宋体" w:hAnsi="宋体" w:eastAsia="宋体"/>
                <w:b w:val="0"/>
                <w:sz w:val="21"/>
              </w:rPr>
              <w:t>可解释、非线性</w:t>
            </w:r>
          </w:p>
        </w:tc>
        <w:tc>
          <w:tcPr>
            <w:tcW w:type="dxa" w:w="2161"/>
          </w:tcPr>
          <w:p>
            <w:pPr>
              <w:spacing w:line="360" w:lineRule="auto" w:before="0" w:after="0"/>
              <w:jc w:val="center"/>
            </w:pPr>
            <w:r>
              <w:rPr>
                <w:rFonts w:ascii="宋体" w:hAnsi="宋体" w:eastAsia="宋体"/>
                <w:b w:val="0"/>
                <w:sz w:val="21"/>
              </w:rPr>
              <w:t>极易过拟合</w:t>
            </w:r>
          </w:p>
        </w:tc>
      </w:tr>
      <w:tr>
        <w:tc>
          <w:tcPr>
            <w:tcW w:type="dxa" w:w="2161"/>
          </w:tcPr>
          <w:p>
            <w:pPr>
              <w:spacing w:line="360" w:lineRule="auto" w:before="0" w:after="0"/>
              <w:jc w:val="center"/>
            </w:pPr>
            <w:r>
              <w:rPr>
                <w:rFonts w:ascii="宋体" w:hAnsi="宋体" w:eastAsia="宋体"/>
                <w:b w:val="0"/>
                <w:sz w:val="21"/>
              </w:rPr>
              <w:t>随机森林</w:t>
            </w:r>
          </w:p>
        </w:tc>
        <w:tc>
          <w:tcPr>
            <w:tcW w:type="dxa" w:w="2161"/>
          </w:tcPr>
          <w:p>
            <w:pPr>
              <w:spacing w:line="360" w:lineRule="auto" w:before="0" w:after="0"/>
              <w:jc w:val="center"/>
            </w:pPr>
            <w:r>
              <w:rPr>
                <w:rFonts w:ascii="宋体" w:hAnsi="宋体" w:eastAsia="宋体"/>
                <w:b w:val="0"/>
                <w:sz w:val="21"/>
              </w:rPr>
              <w:t>分类/回归</w:t>
            </w:r>
          </w:p>
        </w:tc>
        <w:tc>
          <w:tcPr>
            <w:tcW w:type="dxa" w:w="2161"/>
          </w:tcPr>
          <w:p>
            <w:pPr>
              <w:spacing w:line="360" w:lineRule="auto" w:before="0" w:after="0"/>
              <w:jc w:val="center"/>
            </w:pPr>
            <w:r>
              <w:rPr>
                <w:rFonts w:ascii="宋体" w:hAnsi="宋体" w:eastAsia="宋体"/>
                <w:b w:val="0"/>
                <w:sz w:val="21"/>
              </w:rPr>
              <w:t>准确率高、抗过拟合</w:t>
            </w:r>
          </w:p>
        </w:tc>
        <w:tc>
          <w:tcPr>
            <w:tcW w:type="dxa" w:w="2161"/>
          </w:tcPr>
          <w:p>
            <w:pPr>
              <w:spacing w:line="360" w:lineRule="auto" w:before="0" w:after="0"/>
              <w:jc w:val="center"/>
            </w:pPr>
            <w:r>
              <w:rPr>
                <w:rFonts w:ascii="宋体" w:hAnsi="宋体" w:eastAsia="宋体"/>
                <w:b w:val="0"/>
                <w:sz w:val="21"/>
              </w:rPr>
              <w:t>速度慢、黑盒</w:t>
            </w:r>
          </w:p>
        </w:tc>
      </w:tr>
      <w:tr>
        <w:tc>
          <w:tcPr>
            <w:tcW w:type="dxa" w:w="2161"/>
          </w:tcPr>
          <w:p>
            <w:pPr>
              <w:spacing w:line="360" w:lineRule="auto" w:before="0" w:after="0"/>
              <w:jc w:val="center"/>
            </w:pPr>
            <w:r>
              <w:rPr>
                <w:rFonts w:ascii="宋体" w:hAnsi="宋体" w:eastAsia="宋体"/>
                <w:b w:val="0"/>
                <w:sz w:val="21"/>
              </w:rPr>
              <w:t>KNN</w:t>
            </w:r>
          </w:p>
        </w:tc>
        <w:tc>
          <w:tcPr>
            <w:tcW w:type="dxa" w:w="2161"/>
          </w:tcPr>
          <w:p>
            <w:pPr>
              <w:spacing w:line="360" w:lineRule="auto" w:before="0" w:after="0"/>
              <w:jc w:val="center"/>
            </w:pPr>
            <w:r>
              <w:rPr>
                <w:rFonts w:ascii="宋体" w:hAnsi="宋体" w:eastAsia="宋体"/>
                <w:b w:val="0"/>
                <w:sz w:val="21"/>
              </w:rPr>
              <w:t>分类/回归</w:t>
            </w:r>
          </w:p>
        </w:tc>
        <w:tc>
          <w:tcPr>
            <w:tcW w:type="dxa" w:w="2161"/>
          </w:tcPr>
          <w:p>
            <w:pPr>
              <w:spacing w:line="360" w:lineRule="auto" w:before="0" w:after="0"/>
              <w:jc w:val="center"/>
            </w:pPr>
            <w:r>
              <w:rPr>
                <w:rFonts w:ascii="宋体" w:hAnsi="宋体" w:eastAsia="宋体"/>
                <w:b w:val="0"/>
                <w:sz w:val="21"/>
              </w:rPr>
              <w:t>简单、非线性</w:t>
            </w:r>
          </w:p>
        </w:tc>
        <w:tc>
          <w:tcPr>
            <w:tcW w:type="dxa" w:w="2161"/>
          </w:tcPr>
          <w:p>
            <w:pPr>
              <w:spacing w:line="360" w:lineRule="auto" w:before="0" w:after="0"/>
              <w:jc w:val="center"/>
            </w:pPr>
            <w:r>
              <w:rPr>
                <w:rFonts w:ascii="宋体" w:hAnsi="宋体" w:eastAsia="宋体"/>
                <w:b w:val="0"/>
                <w:sz w:val="21"/>
              </w:rPr>
              <w:t>预测慢</w:t>
            </w:r>
          </w:p>
        </w:tc>
      </w:tr>
    </w:tbl>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2.2 线性回归（Linear Regression）</w:t>
      </w:r>
    </w:p>
    <w:p>
      <w:pPr>
        <w:spacing w:line="360" w:lineRule="auto" w:before="0" w:after="0"/>
        <w:ind w:firstLine="420"/>
        <w:jc w:val="both"/>
      </w:pPr>
      <w:r>
        <w:rPr>
          <w:rFonts w:ascii="宋体" w:hAnsi="宋体" w:eastAsia="宋体"/>
          <w:b w:val="0"/>
          <w:sz w:val="21"/>
        </w:rPr>
        <w:t>线性回归是最基础的机器学习算法，其目标是通过学习一个线性函数来拟合自变量与因变量之间的关系。模型形式为 y = w^T * x + b，其中 w 为权重向量，b 为偏置项。线性回归通过最小化均方误差（MSE）来求解参数，可以使用正规方程或梯度下降法进行优化。均方误差的数学形式为：MSE = (1/n) * sum((y_i - y_hat_i)^2)，目标是找到使 MSE 最小的 w 和 b。</w:t>
      </w:r>
    </w:p>
    <w:p>
      <w:pPr>
        <w:spacing w:line="360" w:lineRule="auto" w:before="0" w:after="0"/>
        <w:ind w:firstLine="420"/>
        <w:jc w:val="both"/>
      </w:pPr>
      <w:r>
        <w:rPr>
          <w:rFonts w:ascii="宋体" w:hAnsi="宋体" w:eastAsia="宋体"/>
          <w:b w:val="0"/>
          <w:sz w:val="21"/>
        </w:rPr>
        <w:t>虽然线性回归本质上是一种回归算法，但也可以用于二分类任务。具体做法是：将类别标签编码为0和1，使用线性回归拟合后，将预测值以0.5为阈值进行划分——预测值大于等于0.5判定为正类（1），小于0.5判定为负类（0）。同时，线性回归的连续输出值可以作为样本属于正类的"评分"，用于绘制ROC曲线和计算AUC。这种做法的局限性在于：线性回归的输出不受限于(0,1)区间，对于远离决策边界的样本可能给出极端预测值，且不满足概率的统计性质。正是为了解决这一问题，逻辑回归在输出端引入了Sigmoid函数，将线性组合的结果映射到概率空间。线性回归的优点是训练速度极快、可解释性最强（权重直接反映特征影响方向和大小），在金融领域常用于收益率预测、因子打分和资产定价模型。</w:t>
      </w:r>
    </w:p>
    <w:p>
      <w:pPr>
        <w:spacing w:line="360" w:lineRule="auto" w:before="0" w:after="0"/>
        <w:ind w:firstLine="0"/>
        <w:jc w:val="left"/>
      </w:pPr>
      <w:r>
        <w:rPr>
          <w:rFonts w:ascii="宋体" w:hAnsi="宋体" w:eastAsia="宋体"/>
          <w:b/>
          <w:sz w:val="21"/>
        </w:rPr>
        <w:t>2.3 逻辑回归（Logistic Regression）</w:t>
      </w:r>
    </w:p>
    <w:p>
      <w:pPr>
        <w:spacing w:line="360" w:lineRule="auto" w:before="0" w:after="0"/>
        <w:ind w:firstLine="420"/>
        <w:jc w:val="both"/>
      </w:pPr>
      <w:r>
        <w:rPr>
          <w:rFonts w:ascii="宋体" w:hAnsi="宋体" w:eastAsia="宋体"/>
          <w:b w:val="0"/>
          <w:sz w:val="21"/>
        </w:rPr>
        <w:t>逻辑回归虽然名字中带有"回归"，但实际上是一种经典的二分类算法。其核心思想是在线性回归的基础上，通过Sigmoid函数将线性组合的输出映射到(0, 1)区间，作为样本属于正类的概率。Sigmoid函数的数学形式为：sigma(z) = 1 / (1 + e^(-z))，其中 z = w^T * x + b 是特征的线性组合。当概率大于阈值（通常为0.5）时，将样本预测为正类，否则预测为负类。</w:t>
      </w:r>
    </w:p>
    <w:p>
      <w:pPr>
        <w:spacing w:line="360" w:lineRule="auto" w:before="0" w:after="0"/>
        <w:ind w:firstLine="420"/>
        <w:jc w:val="both"/>
      </w:pPr>
      <w:r>
        <w:rPr>
          <w:rFonts w:ascii="宋体" w:hAnsi="宋体" w:eastAsia="宋体"/>
          <w:b w:val="0"/>
          <w:sz w:val="21"/>
        </w:rPr>
        <w:t>逻辑回归的损失函数采用交叉熵损失（Cross-Entropy Loss），通过梯度下降法优化模型参数。其决策边界是线性的，即 w^T * x + b = 0 定义的超平面。逻辑回归的优点在于训练速度快、可解释性强（系数可解读为特征对预测概率的影响），且天然输出概率值，支持灵活的阈值调整。缺点是只能学习线性决策边界，对非线性关系需要手动构造交互特征或多项式特征。在金融领域，逻辑回归常用于信用评分、违约预测和涨跌方向预测的baseline模型。</w:t>
      </w:r>
    </w:p>
    <w:p>
      <w:pPr>
        <w:spacing w:line="360" w:lineRule="auto" w:before="0" w:after="0"/>
        <w:ind w:firstLine="0"/>
        <w:jc w:val="left"/>
      </w:pPr>
      <w:r>
        <w:rPr>
          <w:rFonts w:ascii="宋体" w:hAnsi="宋体" w:eastAsia="宋体"/>
          <w:b/>
          <w:sz w:val="21"/>
        </w:rPr>
        <w:t>2.4 决策树（Decision Tree）</w:t>
      </w:r>
    </w:p>
    <w:p>
      <w:pPr>
        <w:spacing w:line="360" w:lineRule="auto" w:before="0" w:after="0"/>
        <w:ind w:firstLine="420"/>
        <w:jc w:val="both"/>
      </w:pPr>
      <w:r>
        <w:rPr>
          <w:rFonts w:ascii="宋体" w:hAnsi="宋体" w:eastAsia="宋体"/>
          <w:b w:val="0"/>
          <w:sz w:val="21"/>
        </w:rPr>
        <w:t>决策树是一种基于树形结构进行决策的算法。它通过递归地选择最优特征和切分点，将特征空间划分为若干互不重叠的区域，每个叶子节点对应一个预测结果。决策树的构建过程是一个自顶向下的递归过程：在每个节点处，算法遍历所有特征和所有可能的切分点，选择使划分后纯度提升最大的特征作为当前节点的分裂特征。</w:t>
      </w:r>
    </w:p>
    <w:p>
      <w:pPr>
        <w:spacing w:line="360" w:lineRule="auto" w:before="0" w:after="0"/>
        <w:ind w:firstLine="420"/>
        <w:jc w:val="both"/>
      </w:pPr>
      <w:r>
        <w:rPr>
          <w:rFonts w:ascii="宋体" w:hAnsi="宋体" w:eastAsia="宋体"/>
          <w:b w:val="0"/>
          <w:sz w:val="21"/>
        </w:rPr>
        <w:t>分类决策树常用的划分准则包括基尼系数（Gini Index）和信息增益（Information Gain）。基尼系数衡量节点中样本类别的不纯度，值越小表示纯度越高；信息增益基于信息论中的熵概念，衡量划分前后不确定性的减少量。决策树的关键超参数包括最大深度（max_depth）、节点最小样本数（min_samples_split）和叶子节点最小样本数（min_samples_leaf），这些参数用于控制树的复杂度，防止过拟合。</w:t>
      </w:r>
    </w:p>
    <w:p>
      <w:pPr>
        <w:spacing w:line="360" w:lineRule="auto" w:before="0" w:after="0"/>
        <w:ind w:firstLine="420"/>
        <w:jc w:val="both"/>
      </w:pPr>
      <w:r>
        <w:rPr>
          <w:rFonts w:ascii="宋体" w:hAnsi="宋体" w:eastAsia="宋体"/>
          <w:b w:val="0"/>
          <w:sz w:val="21"/>
        </w:rPr>
        <w:t>决策树的优点是可解释性强（可以直接画出树结构，理解每条决策路径）、能处理非线性关系、对特征量纲不敏感（无需标准化）。缺点是极易过拟合，单棵树的方差很大，对训练数据的微小变化敏感。在金融领域，决策树可用于规则化交易策略生成和特征重要性排序。</w:t>
      </w:r>
    </w:p>
    <w:p>
      <w:pPr>
        <w:spacing w:line="360" w:lineRule="auto" w:before="0" w:after="0"/>
        <w:ind w:firstLine="0"/>
        <w:jc w:val="left"/>
      </w:pPr>
      <w:r>
        <w:rPr>
          <w:rFonts w:ascii="宋体" w:hAnsi="宋体" w:eastAsia="宋体"/>
          <w:b/>
          <w:sz w:val="21"/>
        </w:rPr>
        <w:t>2.5 随机森林（Random Forest）</w:t>
      </w:r>
    </w:p>
    <w:p>
      <w:pPr>
        <w:spacing w:line="360" w:lineRule="auto" w:before="0" w:after="0"/>
        <w:ind w:firstLine="420"/>
        <w:jc w:val="both"/>
      </w:pPr>
      <w:r>
        <w:rPr>
          <w:rFonts w:ascii="宋体" w:hAnsi="宋体" w:eastAsia="宋体"/>
          <w:b w:val="0"/>
          <w:sz w:val="21"/>
        </w:rPr>
        <w:t>随机森林是一种基于Bagging思想的集成学习算法。它通过同时训练多棵决策树，并对所有树的预测结果进行投票（分类）或平均（回归），从而获得比单棵决策树更优的性能。随机森林的核心创新在于引入了两层随机性：第一层是样本随机，每棵树使用Bootstrap抽样（有放回抽样）从训练集中获取一个子集；第二层是特征随机，每个节点分裂时只考虑随机选取的特征子集，而非全部特征。这两层随机性使得各棵树之间具有足够的多样性，从而有效降低了集成模型的方差。</w:t>
      </w:r>
    </w:p>
    <w:p>
      <w:pPr>
        <w:spacing w:line="360" w:lineRule="auto" w:before="0" w:after="0"/>
        <w:ind w:firstLine="420"/>
        <w:jc w:val="both"/>
      </w:pPr>
      <w:r>
        <w:rPr>
          <w:rFonts w:ascii="宋体" w:hAnsi="宋体" w:eastAsia="宋体"/>
          <w:b w:val="0"/>
          <w:sz w:val="21"/>
        </w:rPr>
        <w:t>随机森林的优点包括：准确率通常显著高于单棵决策树、抗过拟合能力强（多棵树的平均抵消了单棵树的过拟合）、自带特征重要性评估（基于不纯度减少量计算）、支持并行训练。缺点是训练速度较慢（需要训练大量树）、模型可解释性较差（黑盒模型）、模型体积较大。在金融领域，随机森林常用于涨跌方向预测、风险因子识别和特征筛选。</w:t>
      </w:r>
    </w:p>
    <w:p>
      <w:pPr>
        <w:spacing w:line="360" w:lineRule="auto" w:before="0" w:after="0"/>
        <w:ind w:firstLine="0"/>
        <w:jc w:val="left"/>
      </w:pPr>
      <w:r>
        <w:rPr>
          <w:rFonts w:ascii="宋体" w:hAnsi="宋体" w:eastAsia="宋体"/>
          <w:b/>
          <w:sz w:val="21"/>
        </w:rPr>
        <w:t>2.6 K近邻（KNN）</w:t>
      </w:r>
    </w:p>
    <w:p>
      <w:pPr>
        <w:spacing w:line="360" w:lineRule="auto" w:before="0" w:after="0"/>
        <w:ind w:firstLine="420"/>
        <w:jc w:val="both"/>
      </w:pPr>
      <w:r>
        <w:rPr>
          <w:rFonts w:ascii="宋体" w:hAnsi="宋体" w:eastAsia="宋体"/>
          <w:b w:val="0"/>
          <w:sz w:val="21"/>
        </w:rPr>
        <w:t>K近邻（K-Nearest Neighbors, KNN）是一种基于实例的懒惰学习算法。与上述算法不同，KNN在训练阶段不显式地学习模型参数，而是将训练数据全部存储，在预测阶段通过计算待预测样本与训练样本之间的距离，找到最近的K个邻居，然后根据这K个邻居的标签进行投票（分类）或平均（回归）。常用的距离度量包括欧氏距离、曼哈顿距离和闵可夫斯基距离。</w:t>
      </w:r>
    </w:p>
    <w:p>
      <w:pPr>
        <w:spacing w:line="360" w:lineRule="auto" w:before="0" w:after="0"/>
        <w:ind w:firstLine="420"/>
        <w:jc w:val="both"/>
      </w:pPr>
      <w:r>
        <w:rPr>
          <w:rFonts w:ascii="宋体" w:hAnsi="宋体" w:eastAsia="宋体"/>
          <w:b w:val="0"/>
          <w:sz w:val="21"/>
        </w:rPr>
        <w:t>KNN的核心超参数是K值（邻居数量）。K值较小意味着模型对噪声敏感、容易过拟合；K值较大则会使决策边界过于平滑、可能欠拟合。通常通过交叉验证选择最优K值。KNN的优点是原理简单直观、无需训练过程（适合快速原型验证）、天然支持非线性决策边界。缺点是预测速度慢（每次预测都要计算与所有训练样本的距离）、对特征量纲敏感（必须标准化）、在高维空间中距离度量失效（维度灾难）。在金融领域，KNN可用于相似股票筛选和模式匹配交易。</w:t>
      </w:r>
    </w:p>
    <w:p>
      <w:pPr>
        <w:spacing w:line="360" w:lineRule="auto" w:before="0" w:after="0"/>
        <w:ind w:firstLine="0"/>
        <w:jc w:val="left"/>
      </w:pPr>
      <w:r>
        <w:rPr>
          <w:rFonts w:ascii="宋体" w:hAnsi="宋体" w:eastAsia="宋体"/>
          <w:b/>
          <w:sz w:val="21"/>
        </w:rPr>
        <w:t>2.7 五种算法对比小结</w:t>
      </w:r>
    </w:p>
    <w:p>
      <w:pPr>
        <w:spacing w:line="360" w:lineRule="auto" w:before="0" w:after="0"/>
        <w:jc w:val="both"/>
      </w:pPr>
      <w:r>
        <w:rPr>
          <w:rFonts w:ascii="宋体" w:hAnsi="宋体" w:eastAsia="宋体"/>
          <w:b w:val="0"/>
          <w:sz w:val="21"/>
        </w:rPr>
        <w:t>表2 五种算法多维度对比</w:t>
      </w:r>
    </w:p>
    <w:tbl>
      <w:tblPr>
        <w:tblStyle w:val="TableGrid"/>
        <w:tblW w:type="auto" w:w="0"/>
        <w:tblLook w:firstColumn="1" w:firstRow="1" w:lastColumn="0" w:lastRow="0" w:noHBand="0" w:noVBand="1" w:val="04A0"/>
      </w:tblPr>
      <w:tblGrid>
        <w:gridCol w:w="1441"/>
        <w:gridCol w:w="1441"/>
        <w:gridCol w:w="1441"/>
        <w:gridCol w:w="1441"/>
        <w:gridCol w:w="1441"/>
        <w:gridCol w:w="1441"/>
      </w:tblGrid>
      <w:tr>
        <w:tc>
          <w:tcPr>
            <w:tcW w:type="dxa" w:w="1441"/>
          </w:tcPr>
          <w:p>
            <w:pPr>
              <w:spacing w:line="360" w:lineRule="auto" w:before="0" w:after="0"/>
              <w:jc w:val="center"/>
            </w:pPr>
            <w:r>
              <w:rPr>
                <w:rFonts w:ascii="宋体" w:hAnsi="宋体" w:eastAsia="宋体"/>
                <w:b/>
                <w:sz w:val="21"/>
              </w:rPr>
              <w:t>维度</w:t>
            </w:r>
          </w:p>
        </w:tc>
        <w:tc>
          <w:tcPr>
            <w:tcW w:type="dxa" w:w="1441"/>
          </w:tcPr>
          <w:p>
            <w:pPr>
              <w:spacing w:line="360" w:lineRule="auto" w:before="0" w:after="0"/>
              <w:jc w:val="center"/>
            </w:pPr>
            <w:r>
              <w:rPr>
                <w:rFonts w:ascii="宋体" w:hAnsi="宋体" w:eastAsia="宋体"/>
                <w:b/>
                <w:sz w:val="21"/>
              </w:rPr>
              <w:t>线性回归</w:t>
            </w:r>
          </w:p>
        </w:tc>
        <w:tc>
          <w:tcPr>
            <w:tcW w:type="dxa" w:w="1441"/>
          </w:tcPr>
          <w:p>
            <w:pPr>
              <w:spacing w:line="360" w:lineRule="auto" w:before="0" w:after="0"/>
              <w:jc w:val="center"/>
            </w:pPr>
            <w:r>
              <w:rPr>
                <w:rFonts w:ascii="宋体" w:hAnsi="宋体" w:eastAsia="宋体"/>
                <w:b/>
                <w:sz w:val="21"/>
              </w:rPr>
              <w:t>逻辑回归</w:t>
            </w:r>
          </w:p>
        </w:tc>
        <w:tc>
          <w:tcPr>
            <w:tcW w:type="dxa" w:w="1441"/>
          </w:tcPr>
          <w:p>
            <w:pPr>
              <w:spacing w:line="360" w:lineRule="auto" w:before="0" w:after="0"/>
              <w:jc w:val="center"/>
            </w:pPr>
            <w:r>
              <w:rPr>
                <w:rFonts w:ascii="宋体" w:hAnsi="宋体" w:eastAsia="宋体"/>
                <w:b/>
                <w:sz w:val="21"/>
              </w:rPr>
              <w:t>决策树</w:t>
            </w:r>
          </w:p>
        </w:tc>
        <w:tc>
          <w:tcPr>
            <w:tcW w:type="dxa" w:w="1441"/>
          </w:tcPr>
          <w:p>
            <w:pPr>
              <w:spacing w:line="360" w:lineRule="auto" w:before="0" w:after="0"/>
              <w:jc w:val="center"/>
            </w:pPr>
            <w:r>
              <w:rPr>
                <w:rFonts w:ascii="宋体" w:hAnsi="宋体" w:eastAsia="宋体"/>
                <w:b/>
                <w:sz w:val="21"/>
              </w:rPr>
              <w:t>随机森林</w:t>
            </w:r>
          </w:p>
        </w:tc>
        <w:tc>
          <w:tcPr>
            <w:tcW w:type="dxa" w:w="1441"/>
          </w:tcPr>
          <w:p>
            <w:pPr>
              <w:spacing w:line="360" w:lineRule="auto" w:before="0" w:after="0"/>
              <w:jc w:val="center"/>
            </w:pPr>
            <w:r>
              <w:rPr>
                <w:rFonts w:ascii="宋体" w:hAnsi="宋体" w:eastAsia="宋体"/>
                <w:b/>
                <w:sz w:val="21"/>
              </w:rPr>
              <w:t>KNN</w:t>
            </w:r>
          </w:p>
        </w:tc>
      </w:tr>
      <w:tr>
        <w:tc>
          <w:tcPr>
            <w:tcW w:type="dxa" w:w="1441"/>
          </w:tcPr>
          <w:p>
            <w:pPr>
              <w:spacing w:line="360" w:lineRule="auto" w:before="0" w:after="0"/>
              <w:jc w:val="center"/>
            </w:pPr>
            <w:r>
              <w:rPr>
                <w:rFonts w:ascii="宋体" w:hAnsi="宋体" w:eastAsia="宋体"/>
                <w:b w:val="0"/>
                <w:sz w:val="21"/>
              </w:rPr>
              <w:t>训练速度</w:t>
            </w:r>
          </w:p>
        </w:tc>
        <w:tc>
          <w:tcPr>
            <w:tcW w:type="dxa" w:w="1441"/>
          </w:tcPr>
          <w:p>
            <w:pPr>
              <w:spacing w:line="360" w:lineRule="auto" w:before="0" w:after="0"/>
              <w:jc w:val="center"/>
            </w:pPr>
            <w:r>
              <w:rPr>
                <w:rFonts w:ascii="宋体" w:hAnsi="宋体" w:eastAsia="宋体"/>
                <w:b w:val="0"/>
                <w:sz w:val="21"/>
              </w:rPr>
              <w:t>最快</w:t>
            </w:r>
          </w:p>
        </w:tc>
        <w:tc>
          <w:tcPr>
            <w:tcW w:type="dxa" w:w="1441"/>
          </w:tcPr>
          <w:p>
            <w:pPr>
              <w:spacing w:line="360" w:lineRule="auto" w:before="0" w:after="0"/>
              <w:jc w:val="center"/>
            </w:pPr>
            <w:r>
              <w:rPr>
                <w:rFonts w:ascii="宋体" w:hAnsi="宋体" w:eastAsia="宋体"/>
                <w:b w:val="0"/>
                <w:sz w:val="21"/>
              </w:rPr>
              <w:t>快</w:t>
            </w:r>
          </w:p>
        </w:tc>
        <w:tc>
          <w:tcPr>
            <w:tcW w:type="dxa" w:w="1441"/>
          </w:tcPr>
          <w:p>
            <w:pPr>
              <w:spacing w:line="360" w:lineRule="auto" w:before="0" w:after="0"/>
              <w:jc w:val="center"/>
            </w:pPr>
            <w:r>
              <w:rPr>
                <w:rFonts w:ascii="宋体" w:hAnsi="宋体" w:eastAsia="宋体"/>
                <w:b w:val="0"/>
                <w:sz w:val="21"/>
              </w:rPr>
              <w:t>中等</w:t>
            </w:r>
          </w:p>
        </w:tc>
        <w:tc>
          <w:tcPr>
            <w:tcW w:type="dxa" w:w="1441"/>
          </w:tcPr>
          <w:p>
            <w:pPr>
              <w:spacing w:line="360" w:lineRule="auto" w:before="0" w:after="0"/>
              <w:jc w:val="center"/>
            </w:pPr>
            <w:r>
              <w:rPr>
                <w:rFonts w:ascii="宋体" w:hAnsi="宋体" w:eastAsia="宋体"/>
                <w:b w:val="0"/>
                <w:sz w:val="21"/>
              </w:rPr>
              <w:t>较慢</w:t>
            </w:r>
          </w:p>
        </w:tc>
        <w:tc>
          <w:tcPr>
            <w:tcW w:type="dxa" w:w="1441"/>
          </w:tcPr>
          <w:p>
            <w:pPr>
              <w:spacing w:line="360" w:lineRule="auto" w:before="0" w:after="0"/>
              <w:jc w:val="center"/>
            </w:pPr>
            <w:r>
              <w:rPr>
                <w:rFonts w:ascii="宋体" w:hAnsi="宋体" w:eastAsia="宋体"/>
                <w:b w:val="0"/>
                <w:sz w:val="21"/>
              </w:rPr>
              <w:t>无需训练</w:t>
            </w:r>
          </w:p>
        </w:tc>
      </w:tr>
      <w:tr>
        <w:tc>
          <w:tcPr>
            <w:tcW w:type="dxa" w:w="1441"/>
          </w:tcPr>
          <w:p>
            <w:pPr>
              <w:spacing w:line="360" w:lineRule="auto" w:before="0" w:after="0"/>
              <w:jc w:val="center"/>
            </w:pPr>
            <w:r>
              <w:rPr>
                <w:rFonts w:ascii="宋体" w:hAnsi="宋体" w:eastAsia="宋体"/>
                <w:b w:val="0"/>
                <w:sz w:val="21"/>
              </w:rPr>
              <w:t>预测速度</w:t>
            </w:r>
          </w:p>
        </w:tc>
        <w:tc>
          <w:tcPr>
            <w:tcW w:type="dxa" w:w="1441"/>
          </w:tcPr>
          <w:p>
            <w:pPr>
              <w:spacing w:line="360" w:lineRule="auto" w:before="0" w:after="0"/>
              <w:jc w:val="center"/>
            </w:pPr>
            <w:r>
              <w:rPr>
                <w:rFonts w:ascii="宋体" w:hAnsi="宋体" w:eastAsia="宋体"/>
                <w:b w:val="0"/>
                <w:sz w:val="21"/>
              </w:rPr>
              <w:t>快</w:t>
            </w:r>
          </w:p>
        </w:tc>
        <w:tc>
          <w:tcPr>
            <w:tcW w:type="dxa" w:w="1441"/>
          </w:tcPr>
          <w:p>
            <w:pPr>
              <w:spacing w:line="360" w:lineRule="auto" w:before="0" w:after="0"/>
              <w:jc w:val="center"/>
            </w:pPr>
            <w:r>
              <w:rPr>
                <w:rFonts w:ascii="宋体" w:hAnsi="宋体" w:eastAsia="宋体"/>
                <w:b w:val="0"/>
                <w:sz w:val="21"/>
              </w:rPr>
              <w:t>快</w:t>
            </w:r>
          </w:p>
        </w:tc>
        <w:tc>
          <w:tcPr>
            <w:tcW w:type="dxa" w:w="1441"/>
          </w:tcPr>
          <w:p>
            <w:pPr>
              <w:spacing w:line="360" w:lineRule="auto" w:before="0" w:after="0"/>
              <w:jc w:val="center"/>
            </w:pPr>
            <w:r>
              <w:rPr>
                <w:rFonts w:ascii="宋体" w:hAnsi="宋体" w:eastAsia="宋体"/>
                <w:b w:val="0"/>
                <w:sz w:val="21"/>
              </w:rPr>
              <w:t>快</w:t>
            </w:r>
          </w:p>
        </w:tc>
        <w:tc>
          <w:tcPr>
            <w:tcW w:type="dxa" w:w="1441"/>
          </w:tcPr>
          <w:p>
            <w:pPr>
              <w:spacing w:line="360" w:lineRule="auto" w:before="0" w:after="0"/>
              <w:jc w:val="center"/>
            </w:pPr>
            <w:r>
              <w:rPr>
                <w:rFonts w:ascii="宋体" w:hAnsi="宋体" w:eastAsia="宋体"/>
                <w:b w:val="0"/>
                <w:sz w:val="21"/>
              </w:rPr>
              <w:t>中等</w:t>
            </w:r>
          </w:p>
        </w:tc>
        <w:tc>
          <w:tcPr>
            <w:tcW w:type="dxa" w:w="1441"/>
          </w:tcPr>
          <w:p>
            <w:pPr>
              <w:spacing w:line="360" w:lineRule="auto" w:before="0" w:after="0"/>
              <w:jc w:val="center"/>
            </w:pPr>
            <w:r>
              <w:rPr>
                <w:rFonts w:ascii="宋体" w:hAnsi="宋体" w:eastAsia="宋体"/>
                <w:b w:val="0"/>
                <w:sz w:val="21"/>
              </w:rPr>
              <w:t>慢</w:t>
            </w:r>
          </w:p>
        </w:tc>
      </w:tr>
      <w:tr>
        <w:tc>
          <w:tcPr>
            <w:tcW w:type="dxa" w:w="1441"/>
          </w:tcPr>
          <w:p>
            <w:pPr>
              <w:spacing w:line="360" w:lineRule="auto" w:before="0" w:after="0"/>
              <w:jc w:val="center"/>
            </w:pPr>
            <w:r>
              <w:rPr>
                <w:rFonts w:ascii="宋体" w:hAnsi="宋体" w:eastAsia="宋体"/>
                <w:b w:val="0"/>
                <w:sz w:val="21"/>
              </w:rPr>
              <w:t>可解释性</w:t>
            </w:r>
          </w:p>
        </w:tc>
        <w:tc>
          <w:tcPr>
            <w:tcW w:type="dxa" w:w="1441"/>
          </w:tcPr>
          <w:p>
            <w:pPr>
              <w:spacing w:line="360" w:lineRule="auto" w:before="0" w:after="0"/>
              <w:jc w:val="center"/>
            </w:pPr>
            <w:r>
              <w:rPr>
                <w:rFonts w:ascii="宋体" w:hAnsi="宋体" w:eastAsia="宋体"/>
                <w:b w:val="0"/>
                <w:sz w:val="21"/>
              </w:rPr>
              <w:t>高（权重可读）</w:t>
            </w:r>
          </w:p>
        </w:tc>
        <w:tc>
          <w:tcPr>
            <w:tcW w:type="dxa" w:w="1441"/>
          </w:tcPr>
          <w:p>
            <w:pPr>
              <w:spacing w:line="360" w:lineRule="auto" w:before="0" w:after="0"/>
              <w:jc w:val="center"/>
            </w:pPr>
            <w:r>
              <w:rPr>
                <w:rFonts w:ascii="宋体" w:hAnsi="宋体" w:eastAsia="宋体"/>
                <w:b w:val="0"/>
                <w:sz w:val="21"/>
              </w:rPr>
              <w:t>高（系数可读）</w:t>
            </w:r>
          </w:p>
        </w:tc>
        <w:tc>
          <w:tcPr>
            <w:tcW w:type="dxa" w:w="1441"/>
          </w:tcPr>
          <w:p>
            <w:pPr>
              <w:spacing w:line="360" w:lineRule="auto" w:before="0" w:after="0"/>
              <w:jc w:val="center"/>
            </w:pPr>
            <w:r>
              <w:rPr>
                <w:rFonts w:ascii="宋体" w:hAnsi="宋体" w:eastAsia="宋体"/>
                <w:b w:val="0"/>
                <w:sz w:val="21"/>
              </w:rPr>
              <w:t>高（树形可视化）</w:t>
            </w:r>
          </w:p>
        </w:tc>
        <w:tc>
          <w:tcPr>
            <w:tcW w:type="dxa" w:w="1441"/>
          </w:tcPr>
          <w:p>
            <w:pPr>
              <w:spacing w:line="360" w:lineRule="auto" w:before="0" w:after="0"/>
              <w:jc w:val="center"/>
            </w:pPr>
            <w:r>
              <w:rPr>
                <w:rFonts w:ascii="宋体" w:hAnsi="宋体" w:eastAsia="宋体"/>
                <w:b w:val="0"/>
                <w:sz w:val="21"/>
              </w:rPr>
              <w:t>低（黑盒）</w:t>
            </w:r>
          </w:p>
        </w:tc>
        <w:tc>
          <w:tcPr>
            <w:tcW w:type="dxa" w:w="1441"/>
          </w:tcPr>
          <w:p>
            <w:pPr>
              <w:spacing w:line="360" w:lineRule="auto" w:before="0" w:after="0"/>
              <w:jc w:val="center"/>
            </w:pPr>
            <w:r>
              <w:rPr>
                <w:rFonts w:ascii="宋体" w:hAnsi="宋体" w:eastAsia="宋体"/>
                <w:b w:val="0"/>
                <w:sz w:val="21"/>
              </w:rPr>
              <w:t>低</w:t>
            </w:r>
          </w:p>
        </w:tc>
      </w:tr>
      <w:tr>
        <w:tc>
          <w:tcPr>
            <w:tcW w:type="dxa" w:w="1441"/>
          </w:tcPr>
          <w:p>
            <w:pPr>
              <w:spacing w:line="360" w:lineRule="auto" w:before="0" w:after="0"/>
              <w:jc w:val="center"/>
            </w:pPr>
            <w:r>
              <w:rPr>
                <w:rFonts w:ascii="宋体" w:hAnsi="宋体" w:eastAsia="宋体"/>
                <w:b w:val="0"/>
                <w:sz w:val="21"/>
              </w:rPr>
              <w:t>准确率</w:t>
            </w:r>
          </w:p>
        </w:tc>
        <w:tc>
          <w:tcPr>
            <w:tcW w:type="dxa" w:w="1441"/>
          </w:tcPr>
          <w:p>
            <w:pPr>
              <w:spacing w:line="360" w:lineRule="auto" w:before="0" w:after="0"/>
              <w:jc w:val="center"/>
            </w:pPr>
            <w:r>
              <w:rPr>
                <w:rFonts w:ascii="宋体" w:hAnsi="宋体" w:eastAsia="宋体"/>
                <w:b w:val="0"/>
                <w:sz w:val="21"/>
              </w:rPr>
              <w:t>中等</w:t>
            </w:r>
          </w:p>
        </w:tc>
        <w:tc>
          <w:tcPr>
            <w:tcW w:type="dxa" w:w="1441"/>
          </w:tcPr>
          <w:p>
            <w:pPr>
              <w:spacing w:line="360" w:lineRule="auto" w:before="0" w:after="0"/>
              <w:jc w:val="center"/>
            </w:pPr>
            <w:r>
              <w:rPr>
                <w:rFonts w:ascii="宋体" w:hAnsi="宋体" w:eastAsia="宋体"/>
                <w:b w:val="0"/>
                <w:sz w:val="21"/>
              </w:rPr>
              <w:t>中等</w:t>
            </w:r>
          </w:p>
        </w:tc>
        <w:tc>
          <w:tcPr>
            <w:tcW w:type="dxa" w:w="1441"/>
          </w:tcPr>
          <w:p>
            <w:pPr>
              <w:spacing w:line="360" w:lineRule="auto" w:before="0" w:after="0"/>
              <w:jc w:val="center"/>
            </w:pPr>
            <w:r>
              <w:rPr>
                <w:rFonts w:ascii="宋体" w:hAnsi="宋体" w:eastAsia="宋体"/>
                <w:b w:val="0"/>
                <w:sz w:val="21"/>
              </w:rPr>
              <w:t>中等</w:t>
            </w:r>
          </w:p>
        </w:tc>
        <w:tc>
          <w:tcPr>
            <w:tcW w:type="dxa" w:w="1441"/>
          </w:tcPr>
          <w:p>
            <w:pPr>
              <w:spacing w:line="360" w:lineRule="auto" w:before="0" w:after="0"/>
              <w:jc w:val="center"/>
            </w:pPr>
            <w:r>
              <w:rPr>
                <w:rFonts w:ascii="宋体" w:hAnsi="宋体" w:eastAsia="宋体"/>
                <w:b w:val="0"/>
                <w:sz w:val="21"/>
              </w:rPr>
              <w:t>高</w:t>
            </w:r>
          </w:p>
        </w:tc>
        <w:tc>
          <w:tcPr>
            <w:tcW w:type="dxa" w:w="1441"/>
          </w:tcPr>
          <w:p>
            <w:pPr>
              <w:spacing w:line="360" w:lineRule="auto" w:before="0" w:after="0"/>
              <w:jc w:val="center"/>
            </w:pPr>
            <w:r>
              <w:rPr>
                <w:rFonts w:ascii="宋体" w:hAnsi="宋体" w:eastAsia="宋体"/>
                <w:b w:val="0"/>
                <w:sz w:val="21"/>
              </w:rPr>
              <w:t>中等</w:t>
            </w:r>
          </w:p>
        </w:tc>
      </w:tr>
      <w:tr>
        <w:tc>
          <w:tcPr>
            <w:tcW w:type="dxa" w:w="1441"/>
          </w:tcPr>
          <w:p>
            <w:pPr>
              <w:spacing w:line="360" w:lineRule="auto" w:before="0" w:after="0"/>
              <w:jc w:val="center"/>
            </w:pPr>
            <w:r>
              <w:rPr>
                <w:rFonts w:ascii="宋体" w:hAnsi="宋体" w:eastAsia="宋体"/>
                <w:b w:val="0"/>
                <w:sz w:val="21"/>
              </w:rPr>
              <w:t>过拟合风险</w:t>
            </w:r>
          </w:p>
        </w:tc>
        <w:tc>
          <w:tcPr>
            <w:tcW w:type="dxa" w:w="1441"/>
          </w:tcPr>
          <w:p>
            <w:pPr>
              <w:spacing w:line="360" w:lineRule="auto" w:before="0" w:after="0"/>
              <w:jc w:val="center"/>
            </w:pPr>
            <w:r>
              <w:rPr>
                <w:rFonts w:ascii="宋体" w:hAnsi="宋体" w:eastAsia="宋体"/>
                <w:b w:val="0"/>
                <w:sz w:val="21"/>
              </w:rPr>
              <w:t>低</w:t>
            </w:r>
          </w:p>
        </w:tc>
        <w:tc>
          <w:tcPr>
            <w:tcW w:type="dxa" w:w="1441"/>
          </w:tcPr>
          <w:p>
            <w:pPr>
              <w:spacing w:line="360" w:lineRule="auto" w:before="0" w:after="0"/>
              <w:jc w:val="center"/>
            </w:pPr>
            <w:r>
              <w:rPr>
                <w:rFonts w:ascii="宋体" w:hAnsi="宋体" w:eastAsia="宋体"/>
                <w:b w:val="0"/>
                <w:sz w:val="21"/>
              </w:rPr>
              <w:t>低</w:t>
            </w:r>
          </w:p>
        </w:tc>
        <w:tc>
          <w:tcPr>
            <w:tcW w:type="dxa" w:w="1441"/>
          </w:tcPr>
          <w:p>
            <w:pPr>
              <w:spacing w:line="360" w:lineRule="auto" w:before="0" w:after="0"/>
              <w:jc w:val="center"/>
            </w:pPr>
            <w:r>
              <w:rPr>
                <w:rFonts w:ascii="宋体" w:hAnsi="宋体" w:eastAsia="宋体"/>
                <w:b w:val="0"/>
                <w:sz w:val="21"/>
              </w:rPr>
              <w:t>高</w:t>
            </w:r>
          </w:p>
        </w:tc>
        <w:tc>
          <w:tcPr>
            <w:tcW w:type="dxa" w:w="1441"/>
          </w:tcPr>
          <w:p>
            <w:pPr>
              <w:spacing w:line="360" w:lineRule="auto" w:before="0" w:after="0"/>
              <w:jc w:val="center"/>
            </w:pPr>
            <w:r>
              <w:rPr>
                <w:rFonts w:ascii="宋体" w:hAnsi="宋体" w:eastAsia="宋体"/>
                <w:b w:val="0"/>
                <w:sz w:val="21"/>
              </w:rPr>
              <w:t>低</w:t>
            </w:r>
          </w:p>
        </w:tc>
        <w:tc>
          <w:tcPr>
            <w:tcW w:type="dxa" w:w="1441"/>
          </w:tcPr>
          <w:p>
            <w:pPr>
              <w:spacing w:line="360" w:lineRule="auto" w:before="0" w:after="0"/>
              <w:jc w:val="center"/>
            </w:pPr>
            <w:r>
              <w:rPr>
                <w:rFonts w:ascii="宋体" w:hAnsi="宋体" w:eastAsia="宋体"/>
                <w:b w:val="0"/>
                <w:sz w:val="21"/>
              </w:rPr>
              <w:t>中等</w:t>
            </w:r>
          </w:p>
        </w:tc>
      </w:tr>
      <w:tr>
        <w:tc>
          <w:tcPr>
            <w:tcW w:type="dxa" w:w="1441"/>
          </w:tcPr>
          <w:p>
            <w:pPr>
              <w:spacing w:line="360" w:lineRule="auto" w:before="0" w:after="0"/>
              <w:jc w:val="center"/>
            </w:pPr>
            <w:r>
              <w:rPr>
                <w:rFonts w:ascii="宋体" w:hAnsi="宋体" w:eastAsia="宋体"/>
                <w:b w:val="0"/>
                <w:sz w:val="21"/>
              </w:rPr>
              <w:t>非线性能力</w:t>
            </w:r>
          </w:p>
        </w:tc>
        <w:tc>
          <w:tcPr>
            <w:tcW w:type="dxa" w:w="1441"/>
          </w:tcPr>
          <w:p>
            <w:pPr>
              <w:spacing w:line="360" w:lineRule="auto" w:before="0" w:after="0"/>
              <w:jc w:val="center"/>
            </w:pPr>
            <w:r>
              <w:rPr>
                <w:rFonts w:ascii="宋体" w:hAnsi="宋体" w:eastAsia="宋体"/>
                <w:b w:val="0"/>
                <w:sz w:val="21"/>
              </w:rPr>
              <w:t>弱</w:t>
            </w:r>
          </w:p>
        </w:tc>
        <w:tc>
          <w:tcPr>
            <w:tcW w:type="dxa" w:w="1441"/>
          </w:tcPr>
          <w:p>
            <w:pPr>
              <w:spacing w:line="360" w:lineRule="auto" w:before="0" w:after="0"/>
              <w:jc w:val="center"/>
            </w:pPr>
            <w:r>
              <w:rPr>
                <w:rFonts w:ascii="宋体" w:hAnsi="宋体" w:eastAsia="宋体"/>
                <w:b w:val="0"/>
                <w:sz w:val="21"/>
              </w:rPr>
              <w:t>弱</w:t>
            </w:r>
          </w:p>
        </w:tc>
        <w:tc>
          <w:tcPr>
            <w:tcW w:type="dxa" w:w="1441"/>
          </w:tcPr>
          <w:p>
            <w:pPr>
              <w:spacing w:line="360" w:lineRule="auto" w:before="0" w:after="0"/>
              <w:jc w:val="center"/>
            </w:pPr>
            <w:r>
              <w:rPr>
                <w:rFonts w:ascii="宋体" w:hAnsi="宋体" w:eastAsia="宋体"/>
                <w:b w:val="0"/>
                <w:sz w:val="21"/>
              </w:rPr>
              <w:t>强</w:t>
            </w:r>
          </w:p>
        </w:tc>
        <w:tc>
          <w:tcPr>
            <w:tcW w:type="dxa" w:w="1441"/>
          </w:tcPr>
          <w:p>
            <w:pPr>
              <w:spacing w:line="360" w:lineRule="auto" w:before="0" w:after="0"/>
              <w:jc w:val="center"/>
            </w:pPr>
            <w:r>
              <w:rPr>
                <w:rFonts w:ascii="宋体" w:hAnsi="宋体" w:eastAsia="宋体"/>
                <w:b w:val="0"/>
                <w:sz w:val="21"/>
              </w:rPr>
              <w:t>强</w:t>
            </w:r>
          </w:p>
        </w:tc>
        <w:tc>
          <w:tcPr>
            <w:tcW w:type="dxa" w:w="1441"/>
          </w:tcPr>
          <w:p>
            <w:pPr>
              <w:spacing w:line="360" w:lineRule="auto" w:before="0" w:after="0"/>
              <w:jc w:val="center"/>
            </w:pPr>
            <w:r>
              <w:rPr>
                <w:rFonts w:ascii="宋体" w:hAnsi="宋体" w:eastAsia="宋体"/>
                <w:b w:val="0"/>
                <w:sz w:val="21"/>
              </w:rPr>
              <w:t>强</w:t>
            </w:r>
          </w:p>
        </w:tc>
      </w:tr>
      <w:tr>
        <w:tc>
          <w:tcPr>
            <w:tcW w:type="dxa" w:w="1441"/>
          </w:tcPr>
          <w:p>
            <w:pPr>
              <w:spacing w:line="360" w:lineRule="auto" w:before="0" w:after="0"/>
              <w:jc w:val="center"/>
            </w:pPr>
            <w:r>
              <w:rPr>
                <w:rFonts w:ascii="宋体" w:hAnsi="宋体" w:eastAsia="宋体"/>
                <w:b w:val="0"/>
                <w:sz w:val="21"/>
              </w:rPr>
              <w:t>输出类型</w:t>
            </w:r>
          </w:p>
        </w:tc>
        <w:tc>
          <w:tcPr>
            <w:tcW w:type="dxa" w:w="1441"/>
          </w:tcPr>
          <w:p>
            <w:pPr>
              <w:spacing w:line="360" w:lineRule="auto" w:before="0" w:after="0"/>
              <w:jc w:val="center"/>
            </w:pPr>
            <w:r>
              <w:rPr>
                <w:rFonts w:ascii="宋体" w:hAnsi="宋体" w:eastAsia="宋体"/>
                <w:b w:val="0"/>
                <w:sz w:val="21"/>
              </w:rPr>
              <w:t>连续值</w:t>
            </w:r>
          </w:p>
        </w:tc>
        <w:tc>
          <w:tcPr>
            <w:tcW w:type="dxa" w:w="1441"/>
          </w:tcPr>
          <w:p>
            <w:pPr>
              <w:spacing w:line="360" w:lineRule="auto" w:before="0" w:after="0"/>
              <w:jc w:val="center"/>
            </w:pPr>
            <w:r>
              <w:rPr>
                <w:rFonts w:ascii="宋体" w:hAnsi="宋体" w:eastAsia="宋体"/>
                <w:b w:val="0"/>
                <w:sz w:val="21"/>
              </w:rPr>
              <w:t>概率</w:t>
            </w:r>
          </w:p>
        </w:tc>
        <w:tc>
          <w:tcPr>
            <w:tcW w:type="dxa" w:w="1441"/>
          </w:tcPr>
          <w:p>
            <w:pPr>
              <w:spacing w:line="360" w:lineRule="auto" w:before="0" w:after="0"/>
              <w:jc w:val="center"/>
            </w:pPr>
            <w:r>
              <w:rPr>
                <w:rFonts w:ascii="宋体" w:hAnsi="宋体" w:eastAsia="宋体"/>
                <w:b w:val="0"/>
                <w:sz w:val="21"/>
              </w:rPr>
              <w:t>类别/概率</w:t>
            </w:r>
          </w:p>
        </w:tc>
        <w:tc>
          <w:tcPr>
            <w:tcW w:type="dxa" w:w="1441"/>
          </w:tcPr>
          <w:p>
            <w:pPr>
              <w:spacing w:line="360" w:lineRule="auto" w:before="0" w:after="0"/>
              <w:jc w:val="center"/>
            </w:pPr>
            <w:r>
              <w:rPr>
                <w:rFonts w:ascii="宋体" w:hAnsi="宋体" w:eastAsia="宋体"/>
                <w:b w:val="0"/>
                <w:sz w:val="21"/>
              </w:rPr>
              <w:t>类别/概率</w:t>
            </w:r>
          </w:p>
        </w:tc>
        <w:tc>
          <w:tcPr>
            <w:tcW w:type="dxa" w:w="1441"/>
          </w:tcPr>
          <w:p>
            <w:pPr>
              <w:spacing w:line="360" w:lineRule="auto" w:before="0" w:after="0"/>
              <w:jc w:val="center"/>
            </w:pPr>
            <w:r>
              <w:rPr>
                <w:rFonts w:ascii="宋体" w:hAnsi="宋体" w:eastAsia="宋体"/>
                <w:b w:val="0"/>
                <w:sz w:val="21"/>
              </w:rPr>
              <w:t>类别/概率</w:t>
            </w:r>
          </w:p>
        </w:tc>
      </w:tr>
      <w:tr>
        <w:tc>
          <w:tcPr>
            <w:tcW w:type="dxa" w:w="1441"/>
          </w:tcPr>
          <w:p>
            <w:pPr>
              <w:spacing w:line="360" w:lineRule="auto" w:before="0" w:after="0"/>
              <w:jc w:val="center"/>
            </w:pPr>
            <w:r>
              <w:rPr>
                <w:rFonts w:ascii="宋体" w:hAnsi="宋体" w:eastAsia="宋体"/>
                <w:b w:val="0"/>
                <w:sz w:val="21"/>
              </w:rPr>
              <w:t>需标准化</w:t>
            </w:r>
          </w:p>
        </w:tc>
        <w:tc>
          <w:tcPr>
            <w:tcW w:type="dxa" w:w="1441"/>
          </w:tcPr>
          <w:p>
            <w:pPr>
              <w:spacing w:line="360" w:lineRule="auto" w:before="0" w:after="0"/>
              <w:jc w:val="center"/>
            </w:pPr>
            <w:r>
              <w:rPr>
                <w:rFonts w:ascii="宋体" w:hAnsi="宋体" w:eastAsia="宋体"/>
                <w:b w:val="0"/>
                <w:sz w:val="21"/>
              </w:rPr>
              <w:t>是</w:t>
            </w:r>
          </w:p>
        </w:tc>
        <w:tc>
          <w:tcPr>
            <w:tcW w:type="dxa" w:w="1441"/>
          </w:tcPr>
          <w:p>
            <w:pPr>
              <w:spacing w:line="360" w:lineRule="auto" w:before="0" w:after="0"/>
              <w:jc w:val="center"/>
            </w:pPr>
            <w:r>
              <w:rPr>
                <w:rFonts w:ascii="宋体" w:hAnsi="宋体" w:eastAsia="宋体"/>
                <w:b w:val="0"/>
                <w:sz w:val="21"/>
              </w:rPr>
              <w:t>是</w:t>
            </w:r>
          </w:p>
        </w:tc>
        <w:tc>
          <w:tcPr>
            <w:tcW w:type="dxa" w:w="1441"/>
          </w:tcPr>
          <w:p>
            <w:pPr>
              <w:spacing w:line="360" w:lineRule="auto" w:before="0" w:after="0"/>
              <w:jc w:val="center"/>
            </w:pPr>
            <w:r>
              <w:rPr>
                <w:rFonts w:ascii="宋体" w:hAnsi="宋体" w:eastAsia="宋体"/>
                <w:b w:val="0"/>
                <w:sz w:val="21"/>
              </w:rPr>
              <w:t>否</w:t>
            </w:r>
          </w:p>
        </w:tc>
        <w:tc>
          <w:tcPr>
            <w:tcW w:type="dxa" w:w="1441"/>
          </w:tcPr>
          <w:p>
            <w:pPr>
              <w:spacing w:line="360" w:lineRule="auto" w:before="0" w:after="0"/>
              <w:jc w:val="center"/>
            </w:pPr>
            <w:r>
              <w:rPr>
                <w:rFonts w:ascii="宋体" w:hAnsi="宋体" w:eastAsia="宋体"/>
                <w:b w:val="0"/>
                <w:sz w:val="21"/>
              </w:rPr>
              <w:t>否</w:t>
            </w:r>
          </w:p>
        </w:tc>
        <w:tc>
          <w:tcPr>
            <w:tcW w:type="dxa" w:w="1441"/>
          </w:tcPr>
          <w:p>
            <w:pPr>
              <w:spacing w:line="360" w:lineRule="auto" w:before="0" w:after="0"/>
              <w:jc w:val="center"/>
            </w:pPr>
            <w:r>
              <w:rPr>
                <w:rFonts w:ascii="宋体" w:hAnsi="宋体" w:eastAsia="宋体"/>
                <w:b w:val="0"/>
                <w:sz w:val="21"/>
              </w:rPr>
              <w:t>是</w:t>
            </w:r>
          </w:p>
        </w:tc>
      </w:tr>
    </w:tbl>
    <w:p>
      <w:pPr>
        <w:spacing w:line="360" w:lineRule="auto" w:before="0" w:after="0"/>
        <w:ind w:firstLine="420"/>
        <w:jc w:val="both"/>
      </w:pPr>
      <w:r>
        <w:rPr>
          <w:rFonts w:ascii="宋体" w:hAnsi="宋体" w:eastAsia="宋体"/>
          <w:b w:val="0"/>
          <w:sz w:val="21"/>
        </w:rPr>
        <w:t>从对比可以看出，五种算法各有优劣。在实际建模中，建议遵循"先简后繁"的原则：先用线性回归或逻辑回归建立baseline，了解数据的基本可分性；再尝试决策树和KNN探索非线性特征；最后使用随机森林追求最高准确率。同时，应结合具体任务的需求（如是否需要可解释性、是否需要概率输出）选择合适的算法。</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三、机器学习模型评价指标</w:t>
      </w:r>
    </w:p>
    <w:p>
      <w:pPr>
        <w:spacing w:line="360" w:lineRule="auto" w:before="0" w:after="0"/>
        <w:ind w:firstLine="0"/>
        <w:jc w:val="left"/>
      </w:pPr>
      <w:r>
        <w:rPr>
          <w:rFonts w:ascii="宋体" w:hAnsi="宋体" w:eastAsia="宋体"/>
          <w:b/>
          <w:sz w:val="21"/>
        </w:rPr>
        <w:t>3.1 数据集划分原则</w:t>
      </w:r>
    </w:p>
    <w:p>
      <w:pPr>
        <w:spacing w:line="360" w:lineRule="auto" w:before="0" w:after="0"/>
        <w:ind w:firstLine="420"/>
        <w:jc w:val="both"/>
      </w:pPr>
      <w:r>
        <w:rPr>
          <w:rFonts w:ascii="宋体" w:hAnsi="宋体" w:eastAsia="宋体"/>
          <w:b w:val="0"/>
          <w:sz w:val="21"/>
        </w:rPr>
        <w:t>在构建机器学习模型之前，首先需要将数据集划分为训练集和测试集。训练集用于模型学习参数，测试集用于评估模型的泛化能力。对于非时间序列数据（如医学诊断数据），可以使用随机划分的方式，即通过train_test_split函数随机抽取一定比例的样本作为测试集。随机划分时应注意使用stratify参数保持类别比例一致。</w:t>
      </w:r>
    </w:p>
    <w:p>
      <w:pPr>
        <w:spacing w:line="360" w:lineRule="auto" w:before="0" w:after="0"/>
        <w:ind w:firstLine="420"/>
        <w:jc w:val="both"/>
      </w:pPr>
      <w:r>
        <w:rPr>
          <w:rFonts w:ascii="宋体" w:hAnsi="宋体" w:eastAsia="宋体"/>
          <w:b w:val="0"/>
          <w:sz w:val="21"/>
        </w:rPr>
        <w:t>对于时间序列数据（如股票行情数据），则不能使用随机划分，必须按照时间顺序进行切分。这是因为时间序列数据具有时间依赖性，如果随机打乱，会导致训练集中包含测试集时间点之后的数据，即"用未来数据预测过去"，这种数据泄露会使模型评估结果严重虚高，在实盘中完全无法复现。正确的做法是将时间序列按时间排列，前段作为训练集，后段作为测试集，确保模型始终只用历史数据预测未来。本任务中，乳腺癌数据集采用随机划分，股票数据采用时间顺序划分，通过对比两种划分方式加深对这一原则的理解。</w:t>
      </w:r>
    </w:p>
    <w:p>
      <w:pPr>
        <w:spacing w:line="360" w:lineRule="auto" w:before="0" w:after="0"/>
        <w:ind w:firstLine="0"/>
        <w:jc w:val="left"/>
      </w:pPr>
      <w:r>
        <w:rPr>
          <w:rFonts w:ascii="宋体" w:hAnsi="宋体" w:eastAsia="宋体"/>
          <w:b/>
          <w:sz w:val="21"/>
        </w:rPr>
        <w:t>3.2 混淆矩阵</w:t>
      </w:r>
    </w:p>
    <w:p>
      <w:pPr>
        <w:spacing w:line="360" w:lineRule="auto" w:before="0" w:after="0"/>
        <w:ind w:firstLine="420"/>
        <w:jc w:val="both"/>
      </w:pPr>
      <w:r>
        <w:rPr>
          <w:rFonts w:ascii="宋体" w:hAnsi="宋体" w:eastAsia="宋体"/>
          <w:b w:val="0"/>
          <w:sz w:val="21"/>
        </w:rPr>
        <w:t>混淆矩阵是评估分类模型性能的基础工具，它以矩阵形式展示模型预测结果与真实标签之间的对照关系。对于二分类问题，混淆矩阵是一个2x2的表格，包含四个基本元素：真阳性（TP，True Positive）表示实际为正且预测为正的样本数；真阴性（TN，True Negative）表示实际为负且预测为负的样本数；假阳性（FP，False Positive）表示实际为负但预测为正的样本数（又称第一类错误）；假阴性（FN，False Negative）表示实际为正但预测为负的样本数（又称第二类错误）。</w:t>
      </w:r>
    </w:p>
    <w:p>
      <w:pPr>
        <w:spacing w:line="360" w:lineRule="auto" w:before="0" w:after="0"/>
        <w:ind w:firstLine="420"/>
        <w:jc w:val="both"/>
      </w:pPr>
      <w:r>
        <w:rPr>
          <w:rFonts w:ascii="宋体" w:hAnsi="宋体" w:eastAsia="宋体"/>
          <w:b w:val="0"/>
          <w:sz w:val="21"/>
        </w:rPr>
        <w:t>在金融场景中，如果将"次日上涨"定义为正类（1），"次日下跌"定义为负类（0），则混淆矩阵的四个元素具有明确的金融含义：TP表示模型正确预测上涨并实际也上涨（正确买入获利）；TN表示模型正确预测下跌并实际也下跌（正确回避避免亏损）；FP表示模型预测上涨但实际下跌（错误买入导致亏损，这是最危险的错误）；FN表示模型预测下跌但实际上涨（错过盈利机会，相对可接受）。因此，在金融分类任务中，控制FP（假阳性率）通常比控制FN更重要。</w:t>
      </w:r>
    </w:p>
    <w:p>
      <w:pPr>
        <w:spacing w:line="360" w:lineRule="auto" w:before="0" w:after="0"/>
        <w:ind w:firstLine="420"/>
        <w:jc w:val="both"/>
      </w:pPr>
      <w:r>
        <w:rPr>
          <w:rFonts w:ascii="宋体" w:hAnsi="宋体" w:eastAsia="宋体"/>
          <w:b w:val="0"/>
          <w:sz w:val="21"/>
        </w:rPr>
        <w:t>基于混淆矩阵的四个基本元素，可以衍生出多个评估指标：准确率（Accuracy）= (TP+TN) / (TP+TN+FP+FN)，表示整体预测正确率，但在类别不均衡时会失真；精确率（Precision）= TP / (TP+FP)，表示预测为正的样本中实际为正的比例，关注误报率；召回率（Recall）= TP / (TP+FN)，表示实际为正的样本中被正确预测的比例，关注漏报率；F1分数 = 2 * Precision * Recall / (Precision + Recall)，是精确率和召回率的调和平均，在两者之间取得平衡。</w:t>
      </w:r>
    </w:p>
    <w:p>
      <w:pPr>
        <w:spacing w:line="360" w:lineRule="auto" w:before="0" w:after="0"/>
        <w:ind w:firstLine="0"/>
        <w:jc w:val="left"/>
      </w:pPr>
      <w:r>
        <w:rPr>
          <w:rFonts w:ascii="宋体" w:hAnsi="宋体" w:eastAsia="宋体"/>
          <w:b/>
          <w:sz w:val="21"/>
        </w:rPr>
        <w:t>3.3 ROC曲线与AUC</w:t>
      </w:r>
    </w:p>
    <w:p>
      <w:pPr>
        <w:spacing w:line="360" w:lineRule="auto" w:before="0" w:after="0"/>
        <w:ind w:firstLine="420"/>
        <w:jc w:val="both"/>
      </w:pPr>
      <w:r>
        <w:rPr>
          <w:rFonts w:ascii="宋体" w:hAnsi="宋体" w:eastAsia="宋体"/>
          <w:b w:val="0"/>
          <w:sz w:val="21"/>
        </w:rPr>
        <w:t>ROC曲线（Receiver Operating Characteristic Curve，受试者工作特征曲线）是评估二分类模型性能的重要工具。ROC曲线的横轴为假阳性率（FPR = FP / (FP+TN)），纵轴为真阳性率（TPR = TP / (TP+FN)，即召回率）。ROC曲线的绘制过程如下：首先，模型对每个测试样本输出一个属于正类的概率值；然后，设定一个阈值（threshold），将概率大于等于阈值的样本预测为正类，小于阈值的预测为负类；在该阈值下计算(FPR, TPR)作为一个点；最后，遍历所有可能的阈值（从0到1），将所有点连接成一条曲线，即为ROC曲线。</w:t>
      </w:r>
    </w:p>
    <w:p>
      <w:pPr>
        <w:spacing w:line="360" w:lineRule="auto" w:before="0" w:after="0"/>
        <w:ind w:firstLine="420"/>
        <w:jc w:val="both"/>
      </w:pPr>
      <w:r>
        <w:rPr>
          <w:rFonts w:ascii="宋体" w:hAnsi="宋体" w:eastAsia="宋体"/>
          <w:b w:val="0"/>
          <w:sz w:val="21"/>
        </w:rPr>
        <w:t>ROC曲线的关键性质包括：曲线越靠近左上角，模型性能越好；对角线（从(0,0)到(1,1)的直线）代表随机猜测，其AUC为0.5；如果ROC曲线低于对角线，说明模型预测方向与真实情况相反，比随机猜测还差。ROC曲线的优点是对类别不均衡稳健，且不依赖于具体阈值的选择，能够全面反映模型在不同阈值下的整体排序能力。</w:t>
      </w:r>
    </w:p>
    <w:p>
      <w:pPr>
        <w:spacing w:line="360" w:lineRule="auto" w:before="0" w:after="0"/>
        <w:ind w:firstLine="420"/>
        <w:jc w:val="both"/>
      </w:pPr>
      <w:r>
        <w:rPr>
          <w:rFonts w:ascii="宋体" w:hAnsi="宋体" w:eastAsia="宋体"/>
          <w:b w:val="0"/>
          <w:sz w:val="21"/>
        </w:rPr>
        <w:t>AUC（Area Under Curve）即ROC曲线下方的面积，取值范围为[0, 1]。AUC的概率含义是：随机抽取一个正样本和一个负样本，模型将正样本排在负样本前面的概率。AUC的评级标准通常为：AUC等于1.0表示完美分类；AUC大于0.8表示模型良好；AUC大于0.7表示模型有效；AUC等于0.5表示模型无区分能力（等同于随机猜测）；AUC小于0.5表示模型预测方向错误。与准确率相比，AUC不受类别分布和阈值选择的影响，是衡量模型排序能力的综合指标，在金融预测任务中被广泛采用。</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四、实验与结果</w:t>
      </w:r>
    </w:p>
    <w:p>
      <w:pPr>
        <w:spacing w:line="360" w:lineRule="auto" w:before="0" w:after="0"/>
        <w:ind w:firstLine="0"/>
        <w:jc w:val="left"/>
      </w:pPr>
      <w:r>
        <w:rPr>
          <w:rFonts w:ascii="宋体" w:hAnsi="宋体" w:eastAsia="宋体"/>
          <w:b/>
          <w:sz w:val="21"/>
        </w:rPr>
        <w:t>4.1 数据集说明</w:t>
      </w:r>
    </w:p>
    <w:p>
      <w:pPr>
        <w:spacing w:line="360" w:lineRule="auto" w:before="0" w:after="0"/>
        <w:ind w:firstLine="0"/>
        <w:jc w:val="left"/>
      </w:pPr>
      <w:r>
        <w:rPr>
          <w:rFonts w:ascii="宋体" w:hAnsi="宋体" w:eastAsia="宋体"/>
          <w:b/>
          <w:sz w:val="21"/>
        </w:rPr>
        <w:t>4.1.1 乳腺癌数据集</w:t>
      </w:r>
    </w:p>
    <w:p>
      <w:pPr>
        <w:spacing w:line="360" w:lineRule="auto" w:before="0" w:after="0"/>
        <w:ind w:firstLine="420"/>
        <w:jc w:val="both"/>
      </w:pPr>
      <w:r>
        <w:rPr>
          <w:rFonts w:ascii="宋体" w:hAnsi="宋体" w:eastAsia="宋体"/>
          <w:b w:val="0"/>
          <w:sz w:val="21"/>
        </w:rPr>
        <w:t>本任务使用scikit-learn内置的乳腺癌诊断数据集（Breast Cancer Wisconsin Diagnostic Dataset）作为通用二分类基准实验。该数据集包含569个样本，每个样本有30个数值型特征，包括细胞核的半径、纹理、周长、面积、平滑度、紧密度、凹度、凹点、对称性和分形维度等十个基本特征的均值、标准差和最大值。目标变量为二分类标签：0表示恶性（Malignant），1表示良性（Benign）。数据集中良性样本357个，恶性样本212个，类别分布基本均衡。</w:t>
      </w:r>
    </w:p>
    <w:p>
      <w:pPr>
        <w:spacing w:line="360" w:lineRule="auto" w:before="0" w:after="0"/>
        <w:ind w:firstLine="0"/>
        <w:jc w:val="left"/>
      </w:pPr>
      <w:r>
        <w:rPr>
          <w:rFonts w:ascii="宋体" w:hAnsi="宋体" w:eastAsia="宋体"/>
          <w:b/>
          <w:sz w:val="21"/>
        </w:rPr>
        <w:t>4.1.2 股票财务指标收益数据</w:t>
      </w:r>
    </w:p>
    <w:p>
      <w:pPr>
        <w:spacing w:line="360" w:lineRule="auto" w:before="0" w:after="0"/>
        <w:ind w:firstLine="420"/>
        <w:jc w:val="both"/>
      </w:pPr>
      <w:r>
        <w:rPr>
          <w:rFonts w:ascii="宋体" w:hAnsi="宋体" w:eastAsia="宋体"/>
          <w:b w:val="0"/>
          <w:sz w:val="21"/>
        </w:rPr>
        <w:t>本任务复用TASK1中已下载的长江电力（600900.SH）日线数据作为金融场景实验数据。原始数据包含2025年7月2日至2026年7月2日共243个交易日的开盘价、最高价、最低价、收盘价、前收盘价、涨跌幅和成交量等字段。在原始数据基础上，通过特征工程构造了11个技术指标特征：MA5偏离度、MA10偏离度、MA20偏离度（收盘价相对移动平均线的偏离程度）、RSI(14)（相对强弱指标，衡量超买超卖程度）、成交量变化率、日内波动率、当日涨跌幅、5日动量、10日动量、5日波动率和量比（当日成交量与5日均量之比）。标签定义为次日涨跌方向：1表示次日上涨（涨跌幅大于0），0表示次日下跌。经过去除NaN行后，有效样本数为224个，其中正类（次日涨）101个，负类（次日跌）123个。</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4.2 数据划分与预处理</w:t>
      </w:r>
    </w:p>
    <w:p>
      <w:pPr>
        <w:spacing w:line="360" w:lineRule="auto" w:before="0" w:after="0"/>
        <w:ind w:firstLine="420"/>
        <w:jc w:val="both"/>
      </w:pPr>
      <w:r>
        <w:rPr>
          <w:rFonts w:ascii="宋体" w:hAnsi="宋体" w:eastAsia="宋体"/>
          <w:b w:val="0"/>
          <w:sz w:val="21"/>
        </w:rPr>
        <w:t>乳腺癌数据集采用随机划分方式，使用train_test_split函数按80:20的比例划分训练集和测试集，并设置stratify=y保持训练集和测试集中的类别比例一致，随机种子固定为42以确保结果可复现。划分后训练集455个样本，测试集114个样本。</w:t>
      </w:r>
    </w:p>
    <w:p>
      <w:pPr>
        <w:spacing w:line="360" w:lineRule="auto" w:before="0" w:after="0"/>
        <w:ind w:firstLine="420"/>
        <w:jc w:val="both"/>
      </w:pPr>
      <w:r>
        <w:rPr>
          <w:rFonts w:ascii="宋体" w:hAnsi="宋体" w:eastAsia="宋体"/>
          <w:b w:val="0"/>
          <w:sz w:val="21"/>
        </w:rPr>
        <w:t>股票数据集采用时间顺序划分方式，严格按照时间先后顺序，前80%的交易日（179个样本）作为训练集，后20%的交易日（45个样本）作为测试集。这种划分方式确保模型只用历史数据训练，用未来数据测试，避免了数据泄露问题。需要特别强调的是，金融时间序列数据绝不能使用随机打乱划分，否则会引入"未来函数"导致评估结果虚高。</w:t>
      </w:r>
    </w:p>
    <w:p>
      <w:pPr>
        <w:spacing w:line="360" w:lineRule="auto" w:before="0" w:after="0"/>
        <w:ind w:firstLine="420"/>
        <w:jc w:val="both"/>
      </w:pPr>
      <w:r>
        <w:rPr>
          <w:rFonts w:ascii="宋体" w:hAnsi="宋体" w:eastAsia="宋体"/>
          <w:b w:val="0"/>
          <w:sz w:val="21"/>
        </w:rPr>
        <w:t>在特征预处理方面，两个数据集均使用StandardScaler进行标准化处理（均值为0，标准差为1）。标准化过程严格遵循"在训练集上fit，在测试集上transform"的原则，避免测试集信息泄露到训练过程中。虽然决策树和随机森林对特征量纲不敏感，但线性回归、逻辑回归和KNN对量纲敏感，因此为了多模型公平对比，统一进行标准化处理。</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4.3 模型构建与训练</w:t>
      </w:r>
    </w:p>
    <w:p>
      <w:pPr>
        <w:spacing w:line="360" w:lineRule="auto" w:before="0" w:after="0"/>
        <w:ind w:firstLine="420"/>
        <w:jc w:val="both"/>
      </w:pPr>
      <w:r>
        <w:rPr>
          <w:rFonts w:ascii="宋体" w:hAnsi="宋体" w:eastAsia="宋体"/>
          <w:b w:val="0"/>
          <w:sz w:val="21"/>
        </w:rPr>
        <w:t>本任务构建了五种模型进行对比实验：线性回归（Linear Regression），使用最小二乘法拟合，预测值以0.5为阈值进行分类，将连续输出裁剪到[0,1]区间作为评分用于ROC/AUC计算；逻辑回归（Logistic Regression），设置max_iter=1000确保收敛，作为分类baseline模型；决策树（Decision Tree），设置max_depth=5控制树的复杂度，防止过拟合；随机森林（Random Forest），设置n_estimators=100（100棵决策树）、max_depth=10，启用并行训练（n_jobs=-1），作为主要预测模型；KNN（K-Nearest Neighbors），设置n_neighbors=5，使用欧氏距离度量。五种模型均在相同的训练集上训练，在相同的测试集上评估，确保对比的公平性。</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4.4 乳腺癌数据集实验结果</w:t>
      </w:r>
    </w:p>
    <w:p>
      <w:pPr>
        <w:spacing w:line="360" w:lineRule="auto" w:before="0" w:after="0"/>
        <w:ind w:firstLine="420"/>
        <w:jc w:val="both"/>
      </w:pPr>
      <w:r>
        <w:rPr>
          <w:rFonts w:ascii="宋体" w:hAnsi="宋体" w:eastAsia="宋体"/>
          <w:b w:val="0"/>
          <w:sz w:val="21"/>
        </w:rPr>
        <w:t>在乳腺癌数据集上，五种模型均取得了优秀的分类效果。下表展示了各模型的详细评估指标。</w:t>
      </w:r>
    </w:p>
    <w:p>
      <w:pPr>
        <w:spacing w:line="360" w:lineRule="auto" w:before="0" w:after="0"/>
        <w:jc w:val="both"/>
      </w:pPr>
      <w:r>
        <w:rPr>
          <w:rFonts w:ascii="宋体" w:hAnsi="宋体" w:eastAsia="宋体"/>
          <w:b w:val="0"/>
          <w:sz w:val="21"/>
        </w:rPr>
        <w:t>表3 乳腺癌数据集五种模型评估结果</w:t>
      </w:r>
    </w:p>
    <w:tbl>
      <w:tblPr>
        <w:tblStyle w:val="TableGrid"/>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pPr>
              <w:spacing w:line="360" w:lineRule="auto" w:before="0" w:after="0"/>
              <w:jc w:val="center"/>
            </w:pPr>
            <w:r>
              <w:rPr>
                <w:rFonts w:ascii="宋体" w:hAnsi="宋体" w:eastAsia="宋体"/>
                <w:b/>
                <w:sz w:val="21"/>
              </w:rPr>
              <w:t>模型</w:t>
            </w:r>
          </w:p>
        </w:tc>
        <w:tc>
          <w:tcPr>
            <w:tcW w:type="dxa" w:w="1235"/>
          </w:tcPr>
          <w:p>
            <w:pPr>
              <w:spacing w:line="360" w:lineRule="auto" w:before="0" w:after="0"/>
              <w:jc w:val="center"/>
            </w:pPr>
            <w:r>
              <w:rPr>
                <w:rFonts w:ascii="宋体" w:hAnsi="宋体" w:eastAsia="宋体"/>
                <w:b/>
                <w:sz w:val="21"/>
              </w:rPr>
              <w:t>Accuracy</w:t>
            </w:r>
          </w:p>
        </w:tc>
        <w:tc>
          <w:tcPr>
            <w:tcW w:type="dxa" w:w="1235"/>
          </w:tcPr>
          <w:p>
            <w:pPr>
              <w:spacing w:line="360" w:lineRule="auto" w:before="0" w:after="0"/>
              <w:jc w:val="center"/>
            </w:pPr>
            <w:r>
              <w:rPr>
                <w:rFonts w:ascii="宋体" w:hAnsi="宋体" w:eastAsia="宋体"/>
                <w:b/>
                <w:sz w:val="21"/>
              </w:rPr>
              <w:t>Precision</w:t>
            </w:r>
          </w:p>
        </w:tc>
        <w:tc>
          <w:tcPr>
            <w:tcW w:type="dxa" w:w="1235"/>
          </w:tcPr>
          <w:p>
            <w:pPr>
              <w:spacing w:line="360" w:lineRule="auto" w:before="0" w:after="0"/>
              <w:jc w:val="center"/>
            </w:pPr>
            <w:r>
              <w:rPr>
                <w:rFonts w:ascii="宋体" w:hAnsi="宋体" w:eastAsia="宋体"/>
                <w:b/>
                <w:sz w:val="21"/>
              </w:rPr>
              <w:t>Recall</w:t>
            </w:r>
          </w:p>
        </w:tc>
        <w:tc>
          <w:tcPr>
            <w:tcW w:type="dxa" w:w="1235"/>
          </w:tcPr>
          <w:p>
            <w:pPr>
              <w:spacing w:line="360" w:lineRule="auto" w:before="0" w:after="0"/>
              <w:jc w:val="center"/>
            </w:pPr>
            <w:r>
              <w:rPr>
                <w:rFonts w:ascii="宋体" w:hAnsi="宋体" w:eastAsia="宋体"/>
                <w:b/>
                <w:sz w:val="21"/>
              </w:rPr>
              <w:t>F1</w:t>
            </w:r>
          </w:p>
        </w:tc>
        <w:tc>
          <w:tcPr>
            <w:tcW w:type="dxa" w:w="1235"/>
          </w:tcPr>
          <w:p>
            <w:pPr>
              <w:spacing w:line="360" w:lineRule="auto" w:before="0" w:after="0"/>
              <w:jc w:val="center"/>
            </w:pPr>
            <w:r>
              <w:rPr>
                <w:rFonts w:ascii="宋体" w:hAnsi="宋体" w:eastAsia="宋体"/>
                <w:b/>
                <w:sz w:val="21"/>
              </w:rPr>
              <w:t>AUC</w:t>
            </w:r>
          </w:p>
        </w:tc>
        <w:tc>
          <w:tcPr>
            <w:tcW w:type="dxa" w:w="1235"/>
          </w:tcPr>
          <w:p/>
        </w:tc>
      </w:tr>
      <w:tr>
        <w:tc>
          <w:tcPr>
            <w:tcW w:type="dxa" w:w="1235"/>
          </w:tcPr>
          <w:p>
            <w:pPr>
              <w:spacing w:line="360" w:lineRule="auto" w:before="0" w:after="0"/>
              <w:jc w:val="center"/>
            </w:pPr>
            <w:r>
              <w:rPr>
                <w:rFonts w:ascii="宋体" w:hAnsi="宋体" w:eastAsia="宋体"/>
                <w:b w:val="0"/>
                <w:sz w:val="21"/>
              </w:rPr>
              <w:t>Linear Regression</w:t>
            </w:r>
          </w:p>
        </w:tc>
        <w:tc>
          <w:tcPr>
            <w:tcW w:type="dxa" w:w="1235"/>
          </w:tcPr>
          <w:p>
            <w:pPr>
              <w:spacing w:line="360" w:lineRule="auto" w:before="0" w:after="0"/>
              <w:jc w:val="center"/>
            </w:pPr>
            <w:r>
              <w:rPr>
                <w:rFonts w:ascii="宋体" w:hAnsi="宋体" w:eastAsia="宋体"/>
                <w:b w:val="0"/>
                <w:sz w:val="21"/>
              </w:rPr>
              <w:t>0.9561</w:t>
            </w:r>
          </w:p>
        </w:tc>
        <w:tc>
          <w:tcPr>
            <w:tcW w:type="dxa" w:w="1235"/>
          </w:tcPr>
          <w:p>
            <w:pPr>
              <w:spacing w:line="360" w:lineRule="auto" w:before="0" w:after="0"/>
              <w:jc w:val="center"/>
            </w:pPr>
            <w:r>
              <w:rPr>
                <w:rFonts w:ascii="宋体" w:hAnsi="宋体" w:eastAsia="宋体"/>
                <w:b w:val="0"/>
                <w:sz w:val="21"/>
              </w:rPr>
              <w:t>0.9467</w:t>
            </w:r>
          </w:p>
        </w:tc>
        <w:tc>
          <w:tcPr>
            <w:tcW w:type="dxa" w:w="1235"/>
          </w:tcPr>
          <w:p>
            <w:pPr>
              <w:spacing w:line="360" w:lineRule="auto" w:before="0" w:after="0"/>
              <w:jc w:val="center"/>
            </w:pPr>
            <w:r>
              <w:rPr>
                <w:rFonts w:ascii="宋体" w:hAnsi="宋体" w:eastAsia="宋体"/>
                <w:b w:val="0"/>
                <w:sz w:val="21"/>
              </w:rPr>
              <w:t>0.9861</w:t>
            </w:r>
          </w:p>
        </w:tc>
        <w:tc>
          <w:tcPr>
            <w:tcW w:type="dxa" w:w="1235"/>
          </w:tcPr>
          <w:p>
            <w:pPr>
              <w:spacing w:line="360" w:lineRule="auto" w:before="0" w:after="0"/>
              <w:jc w:val="center"/>
            </w:pPr>
            <w:r>
              <w:rPr>
                <w:rFonts w:ascii="宋体" w:hAnsi="宋体" w:eastAsia="宋体"/>
                <w:b w:val="0"/>
                <w:sz w:val="21"/>
              </w:rPr>
              <w:t>0.9660</w:t>
            </w:r>
          </w:p>
        </w:tc>
        <w:tc>
          <w:tcPr>
            <w:tcW w:type="dxa" w:w="1235"/>
          </w:tcPr>
          <w:p>
            <w:pPr>
              <w:spacing w:line="360" w:lineRule="auto" w:before="0" w:after="0"/>
              <w:jc w:val="center"/>
            </w:pPr>
            <w:r>
              <w:rPr>
                <w:rFonts w:ascii="宋体" w:hAnsi="宋体" w:eastAsia="宋体"/>
                <w:b w:val="0"/>
                <w:sz w:val="21"/>
              </w:rPr>
              <w:t>0.9924</w:t>
            </w:r>
          </w:p>
        </w:tc>
        <w:tc>
          <w:tcPr>
            <w:tcW w:type="dxa" w:w="1235"/>
          </w:tcPr>
          <w:p>
            <w:pPr>
              <w:spacing w:line="360" w:lineRule="auto" w:before="0" w:after="0"/>
              <w:jc w:val="center"/>
            </w:pPr>
          </w:p>
        </w:tc>
      </w:tr>
      <w:tr>
        <w:tc>
          <w:tcPr>
            <w:tcW w:type="dxa" w:w="1235"/>
          </w:tcPr>
          <w:p>
            <w:pPr>
              <w:spacing w:line="360" w:lineRule="auto" w:before="0" w:after="0"/>
              <w:jc w:val="center"/>
            </w:pPr>
            <w:r>
              <w:rPr>
                <w:rFonts w:ascii="宋体" w:hAnsi="宋体" w:eastAsia="宋体"/>
                <w:b w:val="0"/>
                <w:sz w:val="21"/>
              </w:rPr>
              <w:t>Logistic Regression</w:t>
            </w:r>
          </w:p>
        </w:tc>
        <w:tc>
          <w:tcPr>
            <w:tcW w:type="dxa" w:w="1235"/>
          </w:tcPr>
          <w:p>
            <w:pPr>
              <w:spacing w:line="360" w:lineRule="auto" w:before="0" w:after="0"/>
              <w:jc w:val="center"/>
            </w:pPr>
            <w:r>
              <w:rPr>
                <w:rFonts w:ascii="宋体" w:hAnsi="宋体" w:eastAsia="宋体"/>
                <w:b w:val="0"/>
                <w:sz w:val="21"/>
              </w:rPr>
              <w:t>0.9825</w:t>
            </w:r>
          </w:p>
        </w:tc>
        <w:tc>
          <w:tcPr>
            <w:tcW w:type="dxa" w:w="1235"/>
          </w:tcPr>
          <w:p>
            <w:pPr>
              <w:spacing w:line="360" w:lineRule="auto" w:before="0" w:after="0"/>
              <w:jc w:val="center"/>
            </w:pPr>
            <w:r>
              <w:rPr>
                <w:rFonts w:ascii="宋体" w:hAnsi="宋体" w:eastAsia="宋体"/>
                <w:b w:val="0"/>
                <w:sz w:val="21"/>
              </w:rPr>
              <w:t>0.9861</w:t>
            </w:r>
          </w:p>
        </w:tc>
        <w:tc>
          <w:tcPr>
            <w:tcW w:type="dxa" w:w="1235"/>
          </w:tcPr>
          <w:p>
            <w:pPr>
              <w:spacing w:line="360" w:lineRule="auto" w:before="0" w:after="0"/>
              <w:jc w:val="center"/>
            </w:pPr>
            <w:r>
              <w:rPr>
                <w:rFonts w:ascii="宋体" w:hAnsi="宋体" w:eastAsia="宋体"/>
                <w:b w:val="0"/>
                <w:sz w:val="21"/>
              </w:rPr>
              <w:t>0.9861</w:t>
            </w:r>
          </w:p>
        </w:tc>
        <w:tc>
          <w:tcPr>
            <w:tcW w:type="dxa" w:w="1235"/>
          </w:tcPr>
          <w:p>
            <w:pPr>
              <w:spacing w:line="360" w:lineRule="auto" w:before="0" w:after="0"/>
              <w:jc w:val="center"/>
            </w:pPr>
            <w:r>
              <w:rPr>
                <w:rFonts w:ascii="宋体" w:hAnsi="宋体" w:eastAsia="宋体"/>
                <w:b w:val="0"/>
                <w:sz w:val="21"/>
              </w:rPr>
              <w:t>0.9861</w:t>
            </w:r>
          </w:p>
        </w:tc>
        <w:tc>
          <w:tcPr>
            <w:tcW w:type="dxa" w:w="1235"/>
          </w:tcPr>
          <w:p>
            <w:pPr>
              <w:spacing w:line="360" w:lineRule="auto" w:before="0" w:after="0"/>
              <w:jc w:val="center"/>
            </w:pPr>
            <w:r>
              <w:rPr>
                <w:rFonts w:ascii="宋体" w:hAnsi="宋体" w:eastAsia="宋体"/>
                <w:b w:val="0"/>
                <w:sz w:val="21"/>
              </w:rPr>
              <w:t>0.9954</w:t>
            </w:r>
          </w:p>
        </w:tc>
        <w:tc>
          <w:tcPr>
            <w:tcW w:type="dxa" w:w="1235"/>
          </w:tcPr>
          <w:p>
            <w:pPr>
              <w:spacing w:line="360" w:lineRule="auto" w:before="0" w:after="0"/>
              <w:jc w:val="center"/>
            </w:pPr>
          </w:p>
        </w:tc>
      </w:tr>
      <w:tr>
        <w:tc>
          <w:tcPr>
            <w:tcW w:type="dxa" w:w="1235"/>
          </w:tcPr>
          <w:p>
            <w:pPr>
              <w:spacing w:line="360" w:lineRule="auto" w:before="0" w:after="0"/>
              <w:jc w:val="center"/>
            </w:pPr>
            <w:r>
              <w:rPr>
                <w:rFonts w:ascii="宋体" w:hAnsi="宋体" w:eastAsia="宋体"/>
                <w:b w:val="0"/>
                <w:sz w:val="21"/>
              </w:rPr>
              <w:t>Decision Tree</w:t>
            </w:r>
          </w:p>
        </w:tc>
        <w:tc>
          <w:tcPr>
            <w:tcW w:type="dxa" w:w="1235"/>
          </w:tcPr>
          <w:p>
            <w:pPr>
              <w:spacing w:line="360" w:lineRule="auto" w:before="0" w:after="0"/>
              <w:jc w:val="center"/>
            </w:pPr>
            <w:r>
              <w:rPr>
                <w:rFonts w:ascii="宋体" w:hAnsi="宋体" w:eastAsia="宋体"/>
                <w:b w:val="0"/>
                <w:sz w:val="21"/>
              </w:rPr>
              <w:t>0.9211</w:t>
            </w:r>
          </w:p>
        </w:tc>
        <w:tc>
          <w:tcPr>
            <w:tcW w:type="dxa" w:w="1235"/>
          </w:tcPr>
          <w:p>
            <w:pPr>
              <w:spacing w:line="360" w:lineRule="auto" w:before="0" w:after="0"/>
              <w:jc w:val="center"/>
            </w:pPr>
            <w:r>
              <w:rPr>
                <w:rFonts w:ascii="宋体" w:hAnsi="宋体" w:eastAsia="宋体"/>
                <w:b w:val="0"/>
                <w:sz w:val="21"/>
              </w:rPr>
              <w:t>0.9565</w:t>
            </w:r>
          </w:p>
        </w:tc>
        <w:tc>
          <w:tcPr>
            <w:tcW w:type="dxa" w:w="1235"/>
          </w:tcPr>
          <w:p>
            <w:pPr>
              <w:spacing w:line="360" w:lineRule="auto" w:before="0" w:after="0"/>
              <w:jc w:val="center"/>
            </w:pPr>
            <w:r>
              <w:rPr>
                <w:rFonts w:ascii="宋体" w:hAnsi="宋体" w:eastAsia="宋体"/>
                <w:b w:val="0"/>
                <w:sz w:val="21"/>
              </w:rPr>
              <w:t>0.9167</w:t>
            </w:r>
          </w:p>
        </w:tc>
        <w:tc>
          <w:tcPr>
            <w:tcW w:type="dxa" w:w="1235"/>
          </w:tcPr>
          <w:p>
            <w:pPr>
              <w:spacing w:line="360" w:lineRule="auto" w:before="0" w:after="0"/>
              <w:jc w:val="center"/>
            </w:pPr>
            <w:r>
              <w:rPr>
                <w:rFonts w:ascii="宋体" w:hAnsi="宋体" w:eastAsia="宋体"/>
                <w:b w:val="0"/>
                <w:sz w:val="21"/>
              </w:rPr>
              <w:t>0.9362</w:t>
            </w:r>
          </w:p>
        </w:tc>
        <w:tc>
          <w:tcPr>
            <w:tcW w:type="dxa" w:w="1235"/>
          </w:tcPr>
          <w:p>
            <w:pPr>
              <w:spacing w:line="360" w:lineRule="auto" w:before="0" w:after="0"/>
              <w:jc w:val="center"/>
            </w:pPr>
            <w:r>
              <w:rPr>
                <w:rFonts w:ascii="宋体" w:hAnsi="宋体" w:eastAsia="宋体"/>
                <w:b w:val="0"/>
                <w:sz w:val="21"/>
              </w:rPr>
              <w:t>0.9163</w:t>
            </w:r>
          </w:p>
        </w:tc>
        <w:tc>
          <w:tcPr>
            <w:tcW w:type="dxa" w:w="1235"/>
          </w:tcPr>
          <w:p>
            <w:pPr>
              <w:spacing w:line="360" w:lineRule="auto" w:before="0" w:after="0"/>
              <w:jc w:val="center"/>
            </w:pPr>
          </w:p>
        </w:tc>
      </w:tr>
      <w:tr>
        <w:tc>
          <w:tcPr>
            <w:tcW w:type="dxa" w:w="1235"/>
          </w:tcPr>
          <w:p>
            <w:pPr>
              <w:spacing w:line="360" w:lineRule="auto" w:before="0" w:after="0"/>
              <w:jc w:val="center"/>
            </w:pPr>
            <w:r>
              <w:rPr>
                <w:rFonts w:ascii="宋体" w:hAnsi="宋体" w:eastAsia="宋体"/>
                <w:b w:val="0"/>
                <w:sz w:val="21"/>
              </w:rPr>
              <w:t>Random Forest</w:t>
            </w:r>
          </w:p>
        </w:tc>
        <w:tc>
          <w:tcPr>
            <w:tcW w:type="dxa" w:w="1235"/>
          </w:tcPr>
          <w:p>
            <w:pPr>
              <w:spacing w:line="360" w:lineRule="auto" w:before="0" w:after="0"/>
              <w:jc w:val="center"/>
            </w:pPr>
            <w:r>
              <w:rPr>
                <w:rFonts w:ascii="宋体" w:hAnsi="宋体" w:eastAsia="宋体"/>
                <w:b w:val="0"/>
                <w:sz w:val="21"/>
              </w:rPr>
              <w:t>0.9561</w:t>
            </w:r>
          </w:p>
        </w:tc>
        <w:tc>
          <w:tcPr>
            <w:tcW w:type="dxa" w:w="1235"/>
          </w:tcPr>
          <w:p>
            <w:pPr>
              <w:spacing w:line="360" w:lineRule="auto" w:before="0" w:after="0"/>
              <w:jc w:val="center"/>
            </w:pPr>
            <w:r>
              <w:rPr>
                <w:rFonts w:ascii="宋体" w:hAnsi="宋体" w:eastAsia="宋体"/>
                <w:b w:val="0"/>
                <w:sz w:val="21"/>
              </w:rPr>
              <w:t>0.9589</w:t>
            </w:r>
          </w:p>
        </w:tc>
        <w:tc>
          <w:tcPr>
            <w:tcW w:type="dxa" w:w="1235"/>
          </w:tcPr>
          <w:p>
            <w:pPr>
              <w:spacing w:line="360" w:lineRule="auto" w:before="0" w:after="0"/>
              <w:jc w:val="center"/>
            </w:pPr>
            <w:r>
              <w:rPr>
                <w:rFonts w:ascii="宋体" w:hAnsi="宋体" w:eastAsia="宋体"/>
                <w:b w:val="0"/>
                <w:sz w:val="21"/>
              </w:rPr>
              <w:t>0.9722</w:t>
            </w:r>
          </w:p>
        </w:tc>
        <w:tc>
          <w:tcPr>
            <w:tcW w:type="dxa" w:w="1235"/>
          </w:tcPr>
          <w:p>
            <w:pPr>
              <w:spacing w:line="360" w:lineRule="auto" w:before="0" w:after="0"/>
              <w:jc w:val="center"/>
            </w:pPr>
            <w:r>
              <w:rPr>
                <w:rFonts w:ascii="宋体" w:hAnsi="宋体" w:eastAsia="宋体"/>
                <w:b w:val="0"/>
                <w:sz w:val="21"/>
              </w:rPr>
              <w:t>0.9655</w:t>
            </w:r>
          </w:p>
        </w:tc>
        <w:tc>
          <w:tcPr>
            <w:tcW w:type="dxa" w:w="1235"/>
          </w:tcPr>
          <w:p>
            <w:pPr>
              <w:spacing w:line="360" w:lineRule="auto" w:before="0" w:after="0"/>
              <w:jc w:val="center"/>
            </w:pPr>
            <w:r>
              <w:rPr>
                <w:rFonts w:ascii="宋体" w:hAnsi="宋体" w:eastAsia="宋体"/>
                <w:b w:val="0"/>
                <w:sz w:val="21"/>
              </w:rPr>
              <w:t>0.9939</w:t>
            </w:r>
          </w:p>
        </w:tc>
        <w:tc>
          <w:tcPr>
            <w:tcW w:type="dxa" w:w="1235"/>
          </w:tcPr>
          <w:p>
            <w:pPr>
              <w:spacing w:line="360" w:lineRule="auto" w:before="0" w:after="0"/>
              <w:jc w:val="center"/>
            </w:pPr>
          </w:p>
        </w:tc>
      </w:tr>
      <w:tr>
        <w:tc>
          <w:tcPr>
            <w:tcW w:type="dxa" w:w="1235"/>
          </w:tcPr>
          <w:p>
            <w:pPr>
              <w:spacing w:line="360" w:lineRule="auto" w:before="0" w:after="0"/>
              <w:jc w:val="center"/>
            </w:pPr>
            <w:r>
              <w:rPr>
                <w:rFonts w:ascii="宋体" w:hAnsi="宋体" w:eastAsia="宋体"/>
                <w:b w:val="0"/>
                <w:sz w:val="21"/>
              </w:rPr>
              <w:t>KNN</w:t>
            </w:r>
          </w:p>
        </w:tc>
        <w:tc>
          <w:tcPr>
            <w:tcW w:type="dxa" w:w="1235"/>
          </w:tcPr>
          <w:p>
            <w:pPr>
              <w:spacing w:line="360" w:lineRule="auto" w:before="0" w:after="0"/>
              <w:jc w:val="center"/>
            </w:pPr>
            <w:r>
              <w:rPr>
                <w:rFonts w:ascii="宋体" w:hAnsi="宋体" w:eastAsia="宋体"/>
                <w:b w:val="0"/>
                <w:sz w:val="21"/>
              </w:rPr>
              <w:t>0.9561</w:t>
            </w:r>
          </w:p>
        </w:tc>
        <w:tc>
          <w:tcPr>
            <w:tcW w:type="dxa" w:w="1235"/>
          </w:tcPr>
          <w:p>
            <w:pPr>
              <w:spacing w:line="360" w:lineRule="auto" w:before="0" w:after="0"/>
              <w:jc w:val="center"/>
            </w:pPr>
            <w:r>
              <w:rPr>
                <w:rFonts w:ascii="宋体" w:hAnsi="宋体" w:eastAsia="宋体"/>
                <w:b w:val="0"/>
                <w:sz w:val="21"/>
              </w:rPr>
              <w:t>0.9589</w:t>
            </w:r>
          </w:p>
        </w:tc>
        <w:tc>
          <w:tcPr>
            <w:tcW w:type="dxa" w:w="1235"/>
          </w:tcPr>
          <w:p>
            <w:pPr>
              <w:spacing w:line="360" w:lineRule="auto" w:before="0" w:after="0"/>
              <w:jc w:val="center"/>
            </w:pPr>
            <w:r>
              <w:rPr>
                <w:rFonts w:ascii="宋体" w:hAnsi="宋体" w:eastAsia="宋体"/>
                <w:b w:val="0"/>
                <w:sz w:val="21"/>
              </w:rPr>
              <w:t>0.9722</w:t>
            </w:r>
          </w:p>
        </w:tc>
        <w:tc>
          <w:tcPr>
            <w:tcW w:type="dxa" w:w="1235"/>
          </w:tcPr>
          <w:p>
            <w:pPr>
              <w:spacing w:line="360" w:lineRule="auto" w:before="0" w:after="0"/>
              <w:jc w:val="center"/>
            </w:pPr>
            <w:r>
              <w:rPr>
                <w:rFonts w:ascii="宋体" w:hAnsi="宋体" w:eastAsia="宋体"/>
                <w:b w:val="0"/>
                <w:sz w:val="21"/>
              </w:rPr>
              <w:t>0.9655</w:t>
            </w:r>
          </w:p>
        </w:tc>
        <w:tc>
          <w:tcPr>
            <w:tcW w:type="dxa" w:w="1235"/>
          </w:tcPr>
          <w:p>
            <w:pPr>
              <w:spacing w:line="360" w:lineRule="auto" w:before="0" w:after="0"/>
              <w:jc w:val="center"/>
            </w:pPr>
            <w:r>
              <w:rPr>
                <w:rFonts w:ascii="宋体" w:hAnsi="宋体" w:eastAsia="宋体"/>
                <w:b w:val="0"/>
                <w:sz w:val="21"/>
              </w:rPr>
              <w:t>0.9788</w:t>
            </w:r>
          </w:p>
        </w:tc>
        <w:tc>
          <w:tcPr>
            <w:tcW w:type="dxa" w:w="1235"/>
          </w:tcPr>
          <w:p>
            <w:pPr>
              <w:spacing w:line="360" w:lineRule="auto" w:before="0" w:after="0"/>
              <w:jc w:val="center"/>
            </w:pPr>
          </w:p>
        </w:tc>
      </w:tr>
    </w:tbl>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图1展示了决策树模型在乳腺癌测试集上的混淆矩阵。在114个测试样本中，决策树正确分类了105个样本（TP=66，TN=39），错误分类了9个样本（FP=3，FN=6）。整体准确率为92.11%，但假阴性（FN=6）相对较多，意味着有6个恶性样本被误判为良性，在医学诊断场景中这类错误的风险较高。</w:t>
      </w:r>
    </w:p>
    <w:p>
      <w:pPr>
        <w:spacing w:before="120" w:after="0"/>
        <w:jc w:val="center"/>
      </w:pPr>
      <w:r>
        <w:drawing>
          <wp:inline xmlns:a="http://schemas.openxmlformats.org/drawingml/2006/main" xmlns:pic="http://schemas.openxmlformats.org/drawingml/2006/picture">
            <wp:extent cx="5040000" cy="4157288"/>
            <wp:docPr id="1" name="Picture 1"/>
            <wp:cNvGraphicFramePr>
              <a:graphicFrameLocks noChangeAspect="1"/>
            </wp:cNvGraphicFramePr>
            <a:graphic>
              <a:graphicData uri="http://schemas.openxmlformats.org/drawingml/2006/picture">
                <pic:pic>
                  <pic:nvPicPr>
                    <pic:cNvPr id="0" name="breast_cancer_fig1_cm_dt.png"/>
                    <pic:cNvPicPr/>
                  </pic:nvPicPr>
                  <pic:blipFill>
                    <a:blip r:embed="rId9"/>
                    <a:stretch>
                      <a:fillRect/>
                    </a:stretch>
                  </pic:blipFill>
                  <pic:spPr>
                    <a:xfrm>
                      <a:off x="0" y="0"/>
                      <a:ext cx="5040000" cy="4157288"/>
                    </a:xfrm>
                    <a:prstGeom prst="rect"/>
                  </pic:spPr>
                </pic:pic>
              </a:graphicData>
            </a:graphic>
          </wp:inline>
        </w:drawing>
      </w:r>
    </w:p>
    <w:p>
      <w:pPr>
        <w:spacing w:line="360" w:lineRule="auto" w:before="0" w:after="120"/>
        <w:jc w:val="center"/>
      </w:pPr>
      <w:r>
        <w:rPr>
          <w:rFonts w:ascii="宋体" w:hAnsi="宋体" w:eastAsia="宋体"/>
          <w:b/>
          <w:sz w:val="20"/>
        </w:rPr>
        <w:t>图1 乳腺癌数据集决策树模型混淆矩阵</w:t>
      </w:r>
    </w:p>
    <w:p>
      <w:pPr>
        <w:spacing w:line="360" w:lineRule="auto" w:before="0" w:after="0"/>
        <w:ind w:firstLine="420"/>
        <w:jc w:val="both"/>
      </w:pPr>
      <w:r>
        <w:rPr>
          <w:rFonts w:ascii="宋体" w:hAnsi="宋体" w:eastAsia="宋体"/>
          <w:b w:val="0"/>
          <w:sz w:val="21"/>
        </w:rPr>
        <w:t>图2展示了随机森林模型的混淆矩阵。相比决策树，随机森林的正确分类数提升至109个（TP=70，TN=39），错误分类降至5个（FP=3，FN=2）。假阴性从6降至2，说明随机森林在减少漏诊方面优于单棵决策树。这体现了集成学习通过多棵树投票降低方差、提升稳健性的优势。</w:t>
      </w:r>
    </w:p>
    <w:p>
      <w:pPr>
        <w:spacing w:before="120" w:after="0"/>
        <w:jc w:val="center"/>
      </w:pPr>
      <w:r>
        <w:drawing>
          <wp:inline xmlns:a="http://schemas.openxmlformats.org/drawingml/2006/main" xmlns:pic="http://schemas.openxmlformats.org/drawingml/2006/picture">
            <wp:extent cx="5040000" cy="4157288"/>
            <wp:docPr id="2" name="Picture 2"/>
            <wp:cNvGraphicFramePr>
              <a:graphicFrameLocks noChangeAspect="1"/>
            </wp:cNvGraphicFramePr>
            <a:graphic>
              <a:graphicData uri="http://schemas.openxmlformats.org/drawingml/2006/picture">
                <pic:pic>
                  <pic:nvPicPr>
                    <pic:cNvPr id="0" name="breast_cancer_fig2_cm_rf.png"/>
                    <pic:cNvPicPr/>
                  </pic:nvPicPr>
                  <pic:blipFill>
                    <a:blip r:embed="rId10"/>
                    <a:stretch>
                      <a:fillRect/>
                    </a:stretch>
                  </pic:blipFill>
                  <pic:spPr>
                    <a:xfrm>
                      <a:off x="0" y="0"/>
                      <a:ext cx="5040000" cy="4157288"/>
                    </a:xfrm>
                    <a:prstGeom prst="rect"/>
                  </pic:spPr>
                </pic:pic>
              </a:graphicData>
            </a:graphic>
          </wp:inline>
        </w:drawing>
      </w:r>
    </w:p>
    <w:p>
      <w:pPr>
        <w:spacing w:line="360" w:lineRule="auto" w:before="0" w:after="120"/>
        <w:jc w:val="center"/>
      </w:pPr>
      <w:r>
        <w:rPr>
          <w:rFonts w:ascii="宋体" w:hAnsi="宋体" w:eastAsia="宋体"/>
          <w:b/>
          <w:sz w:val="20"/>
        </w:rPr>
        <w:t>图2 乳腺癌数据集随机森林模型混淆矩阵</w:t>
      </w:r>
    </w:p>
    <w:p>
      <w:pPr>
        <w:spacing w:line="360" w:lineRule="auto" w:before="0" w:after="0"/>
        <w:ind w:firstLine="420"/>
        <w:jc w:val="both"/>
      </w:pPr>
      <w:r>
        <w:rPr>
          <w:rFonts w:ascii="宋体" w:hAnsi="宋体" w:eastAsia="宋体"/>
          <w:b w:val="0"/>
          <w:sz w:val="21"/>
        </w:rPr>
        <w:t>图3展示了线性回归模型的混淆矩阵。线性回归正确分类了109个样本（TP=71，TN=38），错误分类6个（FP=4，FN=1）。值得注意的是，线性回归的假阴性仅为1，在所有模型中最低，说明其几乎不会漏掉良性样本。但假阳性为4，略高于逻辑回归的1，表明线性回归在没有Sigmoid约束的情况下，对少数边界样本的判别稍显粗糙。尽管如此，其AUC仍达到0.9924，说明线性回归在乳腺癌这种特征-目标关系较为线性的数据集上同样有效。</w:t>
      </w:r>
    </w:p>
    <w:p>
      <w:pPr>
        <w:spacing w:before="120" w:after="0"/>
        <w:jc w:val="center"/>
      </w:pPr>
      <w:r>
        <w:drawing>
          <wp:inline xmlns:a="http://schemas.openxmlformats.org/drawingml/2006/main" xmlns:pic="http://schemas.openxmlformats.org/drawingml/2006/picture">
            <wp:extent cx="5040000" cy="4157288"/>
            <wp:docPr id="3" name="Picture 3"/>
            <wp:cNvGraphicFramePr>
              <a:graphicFrameLocks noChangeAspect="1"/>
            </wp:cNvGraphicFramePr>
            <a:graphic>
              <a:graphicData uri="http://schemas.openxmlformats.org/drawingml/2006/picture">
                <pic:pic>
                  <pic:nvPicPr>
                    <pic:cNvPr id="0" name="breast_cancer_fig3_cm_lr.png"/>
                    <pic:cNvPicPr/>
                  </pic:nvPicPr>
                  <pic:blipFill>
                    <a:blip r:embed="rId11"/>
                    <a:stretch>
                      <a:fillRect/>
                    </a:stretch>
                  </pic:blipFill>
                  <pic:spPr>
                    <a:xfrm>
                      <a:off x="0" y="0"/>
                      <a:ext cx="5040000" cy="4157288"/>
                    </a:xfrm>
                    <a:prstGeom prst="rect"/>
                  </pic:spPr>
                </pic:pic>
              </a:graphicData>
            </a:graphic>
          </wp:inline>
        </w:drawing>
      </w:r>
    </w:p>
    <w:p>
      <w:pPr>
        <w:spacing w:line="360" w:lineRule="auto" w:before="0" w:after="120"/>
        <w:jc w:val="center"/>
      </w:pPr>
      <w:r>
        <w:rPr>
          <w:rFonts w:ascii="宋体" w:hAnsi="宋体" w:eastAsia="宋体"/>
          <w:b/>
          <w:sz w:val="20"/>
        </w:rPr>
        <w:t>图3 乳腺癌数据集线性回归模型混淆矩阵</w:t>
      </w:r>
    </w:p>
    <w:p>
      <w:pPr>
        <w:spacing w:line="360" w:lineRule="auto" w:before="0" w:after="0"/>
        <w:ind w:firstLine="420"/>
        <w:jc w:val="both"/>
      </w:pPr>
      <w:r>
        <w:rPr>
          <w:rFonts w:ascii="宋体" w:hAnsi="宋体" w:eastAsia="宋体"/>
          <w:b w:val="0"/>
          <w:sz w:val="21"/>
        </w:rPr>
        <w:t>图4展示了KNN模型的混淆矩阵。KNN正确分类了109个样本（TP=70，TN=39），错误分类5个（FP=3，FN=2），与随机森林的表现完全一致。这说明在经过标准化的乳腺癌数据上，基于距离的KNN能够有效识别样本的类别聚类结构。KNN的AUC为0.9788，略低于逻辑回归和随机森林，这可能是因为KNN的决策边界是局部的、不连续的，在概率排序的精细程度上不如全局优化的线性模型和集成模型。</w:t>
      </w:r>
    </w:p>
    <w:p>
      <w:pPr>
        <w:spacing w:before="120" w:after="0"/>
        <w:jc w:val="center"/>
      </w:pPr>
      <w:r>
        <w:drawing>
          <wp:inline xmlns:a="http://schemas.openxmlformats.org/drawingml/2006/main" xmlns:pic="http://schemas.openxmlformats.org/drawingml/2006/picture">
            <wp:extent cx="5040000" cy="4157288"/>
            <wp:docPr id="4" name="Picture 4"/>
            <wp:cNvGraphicFramePr>
              <a:graphicFrameLocks noChangeAspect="1"/>
            </wp:cNvGraphicFramePr>
            <a:graphic>
              <a:graphicData uri="http://schemas.openxmlformats.org/drawingml/2006/picture">
                <pic:pic>
                  <pic:nvPicPr>
                    <pic:cNvPr id="0" name="breast_cancer_fig4_cm_knn.png"/>
                    <pic:cNvPicPr/>
                  </pic:nvPicPr>
                  <pic:blipFill>
                    <a:blip r:embed="rId12"/>
                    <a:stretch>
                      <a:fillRect/>
                    </a:stretch>
                  </pic:blipFill>
                  <pic:spPr>
                    <a:xfrm>
                      <a:off x="0" y="0"/>
                      <a:ext cx="5040000" cy="4157288"/>
                    </a:xfrm>
                    <a:prstGeom prst="rect"/>
                  </pic:spPr>
                </pic:pic>
              </a:graphicData>
            </a:graphic>
          </wp:inline>
        </w:drawing>
      </w:r>
    </w:p>
    <w:p>
      <w:pPr>
        <w:spacing w:line="360" w:lineRule="auto" w:before="0" w:after="120"/>
        <w:jc w:val="center"/>
      </w:pPr>
      <w:r>
        <w:rPr>
          <w:rFonts w:ascii="宋体" w:hAnsi="宋体" w:eastAsia="宋体"/>
          <w:b/>
          <w:sz w:val="20"/>
        </w:rPr>
        <w:t>图4 乳腺癌数据集KNN模型混淆矩阵</w:t>
      </w:r>
    </w:p>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图5展示了五种模型在乳腺癌数据集上的ROC曲线对比。五条ROC曲线均显著偏离对角线，向左上角弯曲，说明五种模型均具有较强的分类能力。其中逻辑回归的AUC最高（0.9954），随机森林次之（0.9939），线性回归第三（0.9924），KNN第四（0.9788），决策树最低（0.9163）。逻辑回归和线性回归在该数据集上表现优异，可能是因为乳腺癌数据集的特征与目标之间存在较强的线性关系，线性模型的决策边界已经能够很好地捕捉这种关系。决策树的AUC相对较低，这是因为单棵决策树容易过拟合，泛化能力不如集成模型和线性模型。</w:t>
      </w:r>
    </w:p>
    <w:p>
      <w:pPr>
        <w:spacing w:before="120" w:after="0"/>
        <w:jc w:val="center"/>
      </w:pPr>
      <w:r>
        <w:drawing>
          <wp:inline xmlns:a="http://schemas.openxmlformats.org/drawingml/2006/main" xmlns:pic="http://schemas.openxmlformats.org/drawingml/2006/picture">
            <wp:extent cx="5040000" cy="3762973"/>
            <wp:docPr id="5" name="Picture 5"/>
            <wp:cNvGraphicFramePr>
              <a:graphicFrameLocks noChangeAspect="1"/>
            </wp:cNvGraphicFramePr>
            <a:graphic>
              <a:graphicData uri="http://schemas.openxmlformats.org/drawingml/2006/picture">
                <pic:pic>
                  <pic:nvPicPr>
                    <pic:cNvPr id="0" name="breast_cancer_fig5_roc.png"/>
                    <pic:cNvPicPr/>
                  </pic:nvPicPr>
                  <pic:blipFill>
                    <a:blip r:embed="rId13"/>
                    <a:stretch>
                      <a:fillRect/>
                    </a:stretch>
                  </pic:blipFill>
                  <pic:spPr>
                    <a:xfrm>
                      <a:off x="0" y="0"/>
                      <a:ext cx="5040000" cy="3762973"/>
                    </a:xfrm>
                    <a:prstGeom prst="rect"/>
                  </pic:spPr>
                </pic:pic>
              </a:graphicData>
            </a:graphic>
          </wp:inline>
        </w:drawing>
      </w:r>
    </w:p>
    <w:p>
      <w:pPr>
        <w:spacing w:line="360" w:lineRule="auto" w:before="0" w:after="120"/>
        <w:jc w:val="center"/>
      </w:pPr>
      <w:r>
        <w:rPr>
          <w:rFonts w:ascii="宋体" w:hAnsi="宋体" w:eastAsia="宋体"/>
          <w:b/>
          <w:sz w:val="20"/>
        </w:rPr>
        <w:t>图5 乳腺癌数据集五种模型ROC曲线对比</w:t>
      </w:r>
    </w:p>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图6以柱状图形式直观对比了五种模型的AUC值。逻辑回归、随机森林和线性回归的AUC均接近1.0，差异很小；KNN的AUC为0.9788，也处于优秀水平；决策树的AUC为0.9163，与前四者有一定差距。整体来看，在结构化的医学诊断数据上，机器学习模型能够达到接近完美的分类效果，且模型之间的差异不大，说明数据本身具有良好的可分性。</w:t>
      </w:r>
    </w:p>
    <w:p>
      <w:pPr>
        <w:spacing w:before="120" w:after="0"/>
        <w:jc w:val="center"/>
      </w:pPr>
      <w:r>
        <w:drawing>
          <wp:inline xmlns:a="http://schemas.openxmlformats.org/drawingml/2006/main" xmlns:pic="http://schemas.openxmlformats.org/drawingml/2006/picture">
            <wp:extent cx="5040000" cy="3212147"/>
            <wp:docPr id="6" name="Picture 6"/>
            <wp:cNvGraphicFramePr>
              <a:graphicFrameLocks noChangeAspect="1"/>
            </wp:cNvGraphicFramePr>
            <a:graphic>
              <a:graphicData uri="http://schemas.openxmlformats.org/drawingml/2006/picture">
                <pic:pic>
                  <pic:nvPicPr>
                    <pic:cNvPr id="0" name="breast_cancer_fig6_auc_bar.png"/>
                    <pic:cNvPicPr/>
                  </pic:nvPicPr>
                  <pic:blipFill>
                    <a:blip r:embed="rId14"/>
                    <a:stretch>
                      <a:fillRect/>
                    </a:stretch>
                  </pic:blipFill>
                  <pic:spPr>
                    <a:xfrm>
                      <a:off x="0" y="0"/>
                      <a:ext cx="5040000" cy="3212147"/>
                    </a:xfrm>
                    <a:prstGeom prst="rect"/>
                  </pic:spPr>
                </pic:pic>
              </a:graphicData>
            </a:graphic>
          </wp:inline>
        </w:drawing>
      </w:r>
    </w:p>
    <w:p>
      <w:pPr>
        <w:spacing w:line="360" w:lineRule="auto" w:before="0" w:after="120"/>
        <w:jc w:val="center"/>
      </w:pPr>
      <w:r>
        <w:rPr>
          <w:rFonts w:ascii="宋体" w:hAnsi="宋体" w:eastAsia="宋体"/>
          <w:b/>
          <w:sz w:val="20"/>
        </w:rPr>
        <w:t>图6 乳腺癌数据集五种模型AUC对比</w:t>
      </w:r>
    </w:p>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图7展示了随机森林模型的特征重要性排序。特征重要性反映了各特征对模型预测的贡献程度，由随机森林在训练过程中自动计算。从图中可以看出，最重要的特征主要集中在细胞核的形态学指标上，如最差凹点数（worst concave points）、最差半径（worst radius）等，这与医学上恶性肿瘤细胞核形态不规则、大小异常的常识一致。特征重要性分析不仅有助于理解模型的决策依据，还能指导特征筛选和降维。</w:t>
      </w:r>
    </w:p>
    <w:p>
      <w:pPr>
        <w:spacing w:before="120" w:after="0"/>
        <w:jc w:val="center"/>
      </w:pPr>
      <w:r>
        <w:drawing>
          <wp:inline xmlns:a="http://schemas.openxmlformats.org/drawingml/2006/main" xmlns:pic="http://schemas.openxmlformats.org/drawingml/2006/picture">
            <wp:extent cx="5040000" cy="3131361"/>
            <wp:docPr id="7" name="Picture 7"/>
            <wp:cNvGraphicFramePr>
              <a:graphicFrameLocks noChangeAspect="1"/>
            </wp:cNvGraphicFramePr>
            <a:graphic>
              <a:graphicData uri="http://schemas.openxmlformats.org/drawingml/2006/picture">
                <pic:pic>
                  <pic:nvPicPr>
                    <pic:cNvPr id="0" name="breast_cancer_fig7_feature_imp.png"/>
                    <pic:cNvPicPr/>
                  </pic:nvPicPr>
                  <pic:blipFill>
                    <a:blip r:embed="rId15"/>
                    <a:stretch>
                      <a:fillRect/>
                    </a:stretch>
                  </pic:blipFill>
                  <pic:spPr>
                    <a:xfrm>
                      <a:off x="0" y="0"/>
                      <a:ext cx="5040000" cy="3131361"/>
                    </a:xfrm>
                    <a:prstGeom prst="rect"/>
                  </pic:spPr>
                </pic:pic>
              </a:graphicData>
            </a:graphic>
          </wp:inline>
        </w:drawing>
      </w:r>
    </w:p>
    <w:p>
      <w:pPr>
        <w:spacing w:line="360" w:lineRule="auto" w:before="0" w:after="120"/>
        <w:jc w:val="center"/>
      </w:pPr>
      <w:r>
        <w:rPr>
          <w:rFonts w:ascii="宋体" w:hAnsi="宋体" w:eastAsia="宋体"/>
          <w:b/>
          <w:sz w:val="20"/>
        </w:rPr>
        <w:t>图7 乳腺癌数据集随机森林特征重要性</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4.5 股票数据集实验结果</w:t>
      </w:r>
    </w:p>
    <w:p>
      <w:pPr>
        <w:spacing w:line="360" w:lineRule="auto" w:before="0" w:after="0"/>
        <w:ind w:firstLine="420"/>
        <w:jc w:val="both"/>
      </w:pPr>
      <w:r>
        <w:rPr>
          <w:rFonts w:ascii="宋体" w:hAnsi="宋体" w:eastAsia="宋体"/>
          <w:b w:val="0"/>
          <w:sz w:val="21"/>
        </w:rPr>
        <w:t>在长江电力股票数据上，五种模型的表现与乳腺癌数据集形成了鲜明对比。下表展示了各模型的评估指标。</w:t>
      </w:r>
    </w:p>
    <w:p>
      <w:pPr>
        <w:spacing w:line="360" w:lineRule="auto" w:before="0" w:after="0"/>
        <w:jc w:val="both"/>
      </w:pPr>
      <w:r>
        <w:rPr>
          <w:rFonts w:ascii="宋体" w:hAnsi="宋体" w:eastAsia="宋体"/>
          <w:b w:val="0"/>
          <w:sz w:val="21"/>
        </w:rPr>
        <w:t>表4 股票数据集五种模型评估结果</w:t>
      </w:r>
    </w:p>
    <w:tbl>
      <w:tblPr>
        <w:tblStyle w:val="TableGrid"/>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tcPr>
          <w:p>
            <w:pPr>
              <w:spacing w:line="360" w:lineRule="auto" w:before="0" w:after="0"/>
              <w:jc w:val="center"/>
            </w:pPr>
            <w:r>
              <w:rPr>
                <w:rFonts w:ascii="宋体" w:hAnsi="宋体" w:eastAsia="宋体"/>
                <w:b/>
                <w:sz w:val="21"/>
              </w:rPr>
              <w:t>模型</w:t>
            </w:r>
          </w:p>
        </w:tc>
        <w:tc>
          <w:tcPr>
            <w:tcW w:type="dxa" w:w="1235"/>
          </w:tcPr>
          <w:p>
            <w:pPr>
              <w:spacing w:line="360" w:lineRule="auto" w:before="0" w:after="0"/>
              <w:jc w:val="center"/>
            </w:pPr>
            <w:r>
              <w:rPr>
                <w:rFonts w:ascii="宋体" w:hAnsi="宋体" w:eastAsia="宋体"/>
                <w:b/>
                <w:sz w:val="21"/>
              </w:rPr>
              <w:t>Accuracy</w:t>
            </w:r>
          </w:p>
        </w:tc>
        <w:tc>
          <w:tcPr>
            <w:tcW w:type="dxa" w:w="1235"/>
          </w:tcPr>
          <w:p>
            <w:pPr>
              <w:spacing w:line="360" w:lineRule="auto" w:before="0" w:after="0"/>
              <w:jc w:val="center"/>
            </w:pPr>
            <w:r>
              <w:rPr>
                <w:rFonts w:ascii="宋体" w:hAnsi="宋体" w:eastAsia="宋体"/>
                <w:b/>
                <w:sz w:val="21"/>
              </w:rPr>
              <w:t>Precision</w:t>
            </w:r>
          </w:p>
        </w:tc>
        <w:tc>
          <w:tcPr>
            <w:tcW w:type="dxa" w:w="1235"/>
          </w:tcPr>
          <w:p>
            <w:pPr>
              <w:spacing w:line="360" w:lineRule="auto" w:before="0" w:after="0"/>
              <w:jc w:val="center"/>
            </w:pPr>
            <w:r>
              <w:rPr>
                <w:rFonts w:ascii="宋体" w:hAnsi="宋体" w:eastAsia="宋体"/>
                <w:b/>
                <w:sz w:val="21"/>
              </w:rPr>
              <w:t>Recall</w:t>
            </w:r>
          </w:p>
        </w:tc>
        <w:tc>
          <w:tcPr>
            <w:tcW w:type="dxa" w:w="1235"/>
          </w:tcPr>
          <w:p>
            <w:pPr>
              <w:spacing w:line="360" w:lineRule="auto" w:before="0" w:after="0"/>
              <w:jc w:val="center"/>
            </w:pPr>
            <w:r>
              <w:rPr>
                <w:rFonts w:ascii="宋体" w:hAnsi="宋体" w:eastAsia="宋体"/>
                <w:b/>
                <w:sz w:val="21"/>
              </w:rPr>
              <w:t>F1</w:t>
            </w:r>
          </w:p>
        </w:tc>
        <w:tc>
          <w:tcPr>
            <w:tcW w:type="dxa" w:w="1235"/>
          </w:tcPr>
          <w:p>
            <w:pPr>
              <w:spacing w:line="360" w:lineRule="auto" w:before="0" w:after="0"/>
              <w:jc w:val="center"/>
            </w:pPr>
            <w:r>
              <w:rPr>
                <w:rFonts w:ascii="宋体" w:hAnsi="宋体" w:eastAsia="宋体"/>
                <w:b/>
                <w:sz w:val="21"/>
              </w:rPr>
              <w:t>AUC</w:t>
            </w:r>
          </w:p>
        </w:tc>
        <w:tc>
          <w:tcPr>
            <w:tcW w:type="dxa" w:w="1235"/>
          </w:tcPr>
          <w:p/>
        </w:tc>
      </w:tr>
      <w:tr>
        <w:tc>
          <w:tcPr>
            <w:tcW w:type="dxa" w:w="1235"/>
          </w:tcPr>
          <w:p>
            <w:pPr>
              <w:spacing w:line="360" w:lineRule="auto" w:before="0" w:after="0"/>
              <w:jc w:val="center"/>
            </w:pPr>
            <w:r>
              <w:rPr>
                <w:rFonts w:ascii="宋体" w:hAnsi="宋体" w:eastAsia="宋体"/>
                <w:b w:val="0"/>
                <w:sz w:val="21"/>
              </w:rPr>
              <w:t>Linear Regression</w:t>
            </w:r>
          </w:p>
        </w:tc>
        <w:tc>
          <w:tcPr>
            <w:tcW w:type="dxa" w:w="1235"/>
          </w:tcPr>
          <w:p>
            <w:pPr>
              <w:spacing w:line="360" w:lineRule="auto" w:before="0" w:after="0"/>
              <w:jc w:val="center"/>
            </w:pPr>
            <w:r>
              <w:rPr>
                <w:rFonts w:ascii="宋体" w:hAnsi="宋体" w:eastAsia="宋体"/>
                <w:b w:val="0"/>
                <w:sz w:val="21"/>
              </w:rPr>
              <w:t>0.4222</w:t>
            </w:r>
          </w:p>
        </w:tc>
        <w:tc>
          <w:tcPr>
            <w:tcW w:type="dxa" w:w="1235"/>
          </w:tcPr>
          <w:p>
            <w:pPr>
              <w:spacing w:line="360" w:lineRule="auto" w:before="0" w:after="0"/>
              <w:jc w:val="center"/>
            </w:pPr>
            <w:r>
              <w:rPr>
                <w:rFonts w:ascii="宋体" w:hAnsi="宋体" w:eastAsia="宋体"/>
                <w:b w:val="0"/>
                <w:sz w:val="21"/>
              </w:rPr>
              <w:t>0.3571</w:t>
            </w:r>
          </w:p>
        </w:tc>
        <w:tc>
          <w:tcPr>
            <w:tcW w:type="dxa" w:w="1235"/>
          </w:tcPr>
          <w:p>
            <w:pPr>
              <w:spacing w:line="360" w:lineRule="auto" w:before="0" w:after="0"/>
              <w:jc w:val="center"/>
            </w:pPr>
            <w:r>
              <w:rPr>
                <w:rFonts w:ascii="宋体" w:hAnsi="宋体" w:eastAsia="宋体"/>
                <w:b w:val="0"/>
                <w:sz w:val="21"/>
              </w:rPr>
              <w:t>0.2273</w:t>
            </w:r>
          </w:p>
        </w:tc>
        <w:tc>
          <w:tcPr>
            <w:tcW w:type="dxa" w:w="1235"/>
          </w:tcPr>
          <w:p>
            <w:pPr>
              <w:spacing w:line="360" w:lineRule="auto" w:before="0" w:after="0"/>
              <w:jc w:val="center"/>
            </w:pPr>
            <w:r>
              <w:rPr>
                <w:rFonts w:ascii="宋体" w:hAnsi="宋体" w:eastAsia="宋体"/>
                <w:b w:val="0"/>
                <w:sz w:val="21"/>
              </w:rPr>
              <w:t>0.2778</w:t>
            </w:r>
          </w:p>
        </w:tc>
        <w:tc>
          <w:tcPr>
            <w:tcW w:type="dxa" w:w="1235"/>
          </w:tcPr>
          <w:p>
            <w:pPr>
              <w:spacing w:line="360" w:lineRule="auto" w:before="0" w:after="0"/>
              <w:jc w:val="center"/>
            </w:pPr>
            <w:r>
              <w:rPr>
                <w:rFonts w:ascii="宋体" w:hAnsi="宋体" w:eastAsia="宋体"/>
                <w:b w:val="0"/>
                <w:sz w:val="21"/>
              </w:rPr>
              <w:t>0.3439</w:t>
            </w:r>
          </w:p>
        </w:tc>
        <w:tc>
          <w:tcPr>
            <w:tcW w:type="dxa" w:w="1235"/>
          </w:tcPr>
          <w:p>
            <w:pPr>
              <w:spacing w:line="360" w:lineRule="auto" w:before="0" w:after="0"/>
              <w:jc w:val="center"/>
            </w:pPr>
          </w:p>
        </w:tc>
      </w:tr>
      <w:tr>
        <w:tc>
          <w:tcPr>
            <w:tcW w:type="dxa" w:w="1235"/>
          </w:tcPr>
          <w:p>
            <w:pPr>
              <w:spacing w:line="360" w:lineRule="auto" w:before="0" w:after="0"/>
              <w:jc w:val="center"/>
            </w:pPr>
            <w:r>
              <w:rPr>
                <w:rFonts w:ascii="宋体" w:hAnsi="宋体" w:eastAsia="宋体"/>
                <w:b w:val="0"/>
                <w:sz w:val="21"/>
              </w:rPr>
              <w:t>Logistic Regression</w:t>
            </w:r>
          </w:p>
        </w:tc>
        <w:tc>
          <w:tcPr>
            <w:tcW w:type="dxa" w:w="1235"/>
          </w:tcPr>
          <w:p>
            <w:pPr>
              <w:spacing w:line="360" w:lineRule="auto" w:before="0" w:after="0"/>
              <w:jc w:val="center"/>
            </w:pPr>
            <w:r>
              <w:rPr>
                <w:rFonts w:ascii="宋体" w:hAnsi="宋体" w:eastAsia="宋体"/>
                <w:b w:val="0"/>
                <w:sz w:val="21"/>
              </w:rPr>
              <w:t>0.4000</w:t>
            </w:r>
          </w:p>
        </w:tc>
        <w:tc>
          <w:tcPr>
            <w:tcW w:type="dxa" w:w="1235"/>
          </w:tcPr>
          <w:p>
            <w:pPr>
              <w:spacing w:line="360" w:lineRule="auto" w:before="0" w:after="0"/>
              <w:jc w:val="center"/>
            </w:pPr>
            <w:r>
              <w:rPr>
                <w:rFonts w:ascii="宋体" w:hAnsi="宋体" w:eastAsia="宋体"/>
                <w:b w:val="0"/>
                <w:sz w:val="21"/>
              </w:rPr>
              <w:t>0.3333</w:t>
            </w:r>
          </w:p>
        </w:tc>
        <w:tc>
          <w:tcPr>
            <w:tcW w:type="dxa" w:w="1235"/>
          </w:tcPr>
          <w:p>
            <w:pPr>
              <w:spacing w:line="360" w:lineRule="auto" w:before="0" w:after="0"/>
              <w:jc w:val="center"/>
            </w:pPr>
            <w:r>
              <w:rPr>
                <w:rFonts w:ascii="宋体" w:hAnsi="宋体" w:eastAsia="宋体"/>
                <w:b w:val="0"/>
                <w:sz w:val="21"/>
              </w:rPr>
              <w:t>0.2273</w:t>
            </w:r>
          </w:p>
        </w:tc>
        <w:tc>
          <w:tcPr>
            <w:tcW w:type="dxa" w:w="1235"/>
          </w:tcPr>
          <w:p>
            <w:pPr>
              <w:spacing w:line="360" w:lineRule="auto" w:before="0" w:after="0"/>
              <w:jc w:val="center"/>
            </w:pPr>
            <w:r>
              <w:rPr>
                <w:rFonts w:ascii="宋体" w:hAnsi="宋体" w:eastAsia="宋体"/>
                <w:b w:val="0"/>
                <w:sz w:val="21"/>
              </w:rPr>
              <w:t>0.2703</w:t>
            </w:r>
          </w:p>
        </w:tc>
        <w:tc>
          <w:tcPr>
            <w:tcW w:type="dxa" w:w="1235"/>
          </w:tcPr>
          <w:p>
            <w:pPr>
              <w:spacing w:line="360" w:lineRule="auto" w:before="0" w:after="0"/>
              <w:jc w:val="center"/>
            </w:pPr>
            <w:r>
              <w:rPr>
                <w:rFonts w:ascii="宋体" w:hAnsi="宋体" w:eastAsia="宋体"/>
                <w:b w:val="0"/>
                <w:sz w:val="21"/>
              </w:rPr>
              <w:t>0.3458</w:t>
            </w:r>
          </w:p>
        </w:tc>
        <w:tc>
          <w:tcPr>
            <w:tcW w:type="dxa" w:w="1235"/>
          </w:tcPr>
          <w:p>
            <w:pPr>
              <w:spacing w:line="360" w:lineRule="auto" w:before="0" w:after="0"/>
              <w:jc w:val="center"/>
            </w:pPr>
          </w:p>
        </w:tc>
      </w:tr>
      <w:tr>
        <w:tc>
          <w:tcPr>
            <w:tcW w:type="dxa" w:w="1235"/>
          </w:tcPr>
          <w:p>
            <w:pPr>
              <w:spacing w:line="360" w:lineRule="auto" w:before="0" w:after="0"/>
              <w:jc w:val="center"/>
            </w:pPr>
            <w:r>
              <w:rPr>
                <w:rFonts w:ascii="宋体" w:hAnsi="宋体" w:eastAsia="宋体"/>
                <w:b w:val="0"/>
                <w:sz w:val="21"/>
              </w:rPr>
              <w:t>Decision Tree</w:t>
            </w:r>
          </w:p>
        </w:tc>
        <w:tc>
          <w:tcPr>
            <w:tcW w:type="dxa" w:w="1235"/>
          </w:tcPr>
          <w:p>
            <w:pPr>
              <w:spacing w:line="360" w:lineRule="auto" w:before="0" w:after="0"/>
              <w:jc w:val="center"/>
            </w:pPr>
            <w:r>
              <w:rPr>
                <w:rFonts w:ascii="宋体" w:hAnsi="宋体" w:eastAsia="宋体"/>
                <w:b w:val="0"/>
                <w:sz w:val="21"/>
              </w:rPr>
              <w:t>0.4000</w:t>
            </w:r>
          </w:p>
        </w:tc>
        <w:tc>
          <w:tcPr>
            <w:tcW w:type="dxa" w:w="1235"/>
          </w:tcPr>
          <w:p>
            <w:pPr>
              <w:spacing w:line="360" w:lineRule="auto" w:before="0" w:after="0"/>
              <w:jc w:val="center"/>
            </w:pPr>
            <w:r>
              <w:rPr>
                <w:rFonts w:ascii="宋体" w:hAnsi="宋体" w:eastAsia="宋体"/>
                <w:b w:val="0"/>
                <w:sz w:val="21"/>
              </w:rPr>
              <w:t>0.3913</w:t>
            </w:r>
          </w:p>
        </w:tc>
        <w:tc>
          <w:tcPr>
            <w:tcW w:type="dxa" w:w="1235"/>
          </w:tcPr>
          <w:p>
            <w:pPr>
              <w:spacing w:line="360" w:lineRule="auto" w:before="0" w:after="0"/>
              <w:jc w:val="center"/>
            </w:pPr>
            <w:r>
              <w:rPr>
                <w:rFonts w:ascii="宋体" w:hAnsi="宋体" w:eastAsia="宋体"/>
                <w:b w:val="0"/>
                <w:sz w:val="21"/>
              </w:rPr>
              <w:t>0.4091</w:t>
            </w:r>
          </w:p>
        </w:tc>
        <w:tc>
          <w:tcPr>
            <w:tcW w:type="dxa" w:w="1235"/>
          </w:tcPr>
          <w:p>
            <w:pPr>
              <w:spacing w:line="360" w:lineRule="auto" w:before="0" w:after="0"/>
              <w:jc w:val="center"/>
            </w:pPr>
            <w:r>
              <w:rPr>
                <w:rFonts w:ascii="宋体" w:hAnsi="宋体" w:eastAsia="宋体"/>
                <w:b w:val="0"/>
                <w:sz w:val="21"/>
              </w:rPr>
              <w:t>0.4000</w:t>
            </w:r>
          </w:p>
        </w:tc>
        <w:tc>
          <w:tcPr>
            <w:tcW w:type="dxa" w:w="1235"/>
          </w:tcPr>
          <w:p>
            <w:pPr>
              <w:spacing w:line="360" w:lineRule="auto" w:before="0" w:after="0"/>
              <w:jc w:val="center"/>
            </w:pPr>
            <w:r>
              <w:rPr>
                <w:rFonts w:ascii="宋体" w:hAnsi="宋体" w:eastAsia="宋体"/>
                <w:b w:val="0"/>
                <w:sz w:val="21"/>
              </w:rPr>
              <w:t>0.4585</w:t>
            </w:r>
          </w:p>
        </w:tc>
        <w:tc>
          <w:tcPr>
            <w:tcW w:type="dxa" w:w="1235"/>
          </w:tcPr>
          <w:p>
            <w:pPr>
              <w:spacing w:line="360" w:lineRule="auto" w:before="0" w:after="0"/>
              <w:jc w:val="center"/>
            </w:pPr>
          </w:p>
        </w:tc>
      </w:tr>
      <w:tr>
        <w:tc>
          <w:tcPr>
            <w:tcW w:type="dxa" w:w="1235"/>
          </w:tcPr>
          <w:p>
            <w:pPr>
              <w:spacing w:line="360" w:lineRule="auto" w:before="0" w:after="0"/>
              <w:jc w:val="center"/>
            </w:pPr>
            <w:r>
              <w:rPr>
                <w:rFonts w:ascii="宋体" w:hAnsi="宋体" w:eastAsia="宋体"/>
                <w:b w:val="0"/>
                <w:sz w:val="21"/>
              </w:rPr>
              <w:t>Random Forest</w:t>
            </w:r>
          </w:p>
        </w:tc>
        <w:tc>
          <w:tcPr>
            <w:tcW w:type="dxa" w:w="1235"/>
          </w:tcPr>
          <w:p>
            <w:pPr>
              <w:spacing w:line="360" w:lineRule="auto" w:before="0" w:after="0"/>
              <w:jc w:val="center"/>
            </w:pPr>
            <w:r>
              <w:rPr>
                <w:rFonts w:ascii="宋体" w:hAnsi="宋体" w:eastAsia="宋体"/>
                <w:b w:val="0"/>
                <w:sz w:val="21"/>
              </w:rPr>
              <w:t>0.4667</w:t>
            </w:r>
          </w:p>
        </w:tc>
        <w:tc>
          <w:tcPr>
            <w:tcW w:type="dxa" w:w="1235"/>
          </w:tcPr>
          <w:p>
            <w:pPr>
              <w:spacing w:line="360" w:lineRule="auto" w:before="0" w:after="0"/>
              <w:jc w:val="center"/>
            </w:pPr>
            <w:r>
              <w:rPr>
                <w:rFonts w:ascii="宋体" w:hAnsi="宋体" w:eastAsia="宋体"/>
                <w:b w:val="0"/>
                <w:sz w:val="21"/>
              </w:rPr>
              <w:t>0.4444</w:t>
            </w:r>
          </w:p>
        </w:tc>
        <w:tc>
          <w:tcPr>
            <w:tcW w:type="dxa" w:w="1235"/>
          </w:tcPr>
          <w:p>
            <w:pPr>
              <w:spacing w:line="360" w:lineRule="auto" w:before="0" w:after="0"/>
              <w:jc w:val="center"/>
            </w:pPr>
            <w:r>
              <w:rPr>
                <w:rFonts w:ascii="宋体" w:hAnsi="宋体" w:eastAsia="宋体"/>
                <w:b w:val="0"/>
                <w:sz w:val="21"/>
              </w:rPr>
              <w:t>0.3636</w:t>
            </w:r>
          </w:p>
        </w:tc>
        <w:tc>
          <w:tcPr>
            <w:tcW w:type="dxa" w:w="1235"/>
          </w:tcPr>
          <w:p>
            <w:pPr>
              <w:spacing w:line="360" w:lineRule="auto" w:before="0" w:after="0"/>
              <w:jc w:val="center"/>
            </w:pPr>
            <w:r>
              <w:rPr>
                <w:rFonts w:ascii="宋体" w:hAnsi="宋体" w:eastAsia="宋体"/>
                <w:b w:val="0"/>
                <w:sz w:val="21"/>
              </w:rPr>
              <w:t>0.4000</w:t>
            </w:r>
          </w:p>
        </w:tc>
        <w:tc>
          <w:tcPr>
            <w:tcW w:type="dxa" w:w="1235"/>
          </w:tcPr>
          <w:p>
            <w:pPr>
              <w:spacing w:line="360" w:lineRule="auto" w:before="0" w:after="0"/>
              <w:jc w:val="center"/>
            </w:pPr>
            <w:r>
              <w:rPr>
                <w:rFonts w:ascii="宋体" w:hAnsi="宋体" w:eastAsia="宋体"/>
                <w:b w:val="0"/>
                <w:sz w:val="21"/>
              </w:rPr>
              <w:t>0.3913</w:t>
            </w:r>
          </w:p>
        </w:tc>
        <w:tc>
          <w:tcPr>
            <w:tcW w:type="dxa" w:w="1235"/>
          </w:tcPr>
          <w:p>
            <w:pPr>
              <w:spacing w:line="360" w:lineRule="auto" w:before="0" w:after="0"/>
              <w:jc w:val="center"/>
            </w:pPr>
          </w:p>
        </w:tc>
      </w:tr>
      <w:tr>
        <w:tc>
          <w:tcPr>
            <w:tcW w:type="dxa" w:w="1235"/>
          </w:tcPr>
          <w:p>
            <w:pPr>
              <w:spacing w:line="360" w:lineRule="auto" w:before="0" w:after="0"/>
              <w:jc w:val="center"/>
            </w:pPr>
            <w:r>
              <w:rPr>
                <w:rFonts w:ascii="宋体" w:hAnsi="宋体" w:eastAsia="宋体"/>
                <w:b w:val="0"/>
                <w:sz w:val="21"/>
              </w:rPr>
              <w:t>KNN</w:t>
            </w:r>
          </w:p>
        </w:tc>
        <w:tc>
          <w:tcPr>
            <w:tcW w:type="dxa" w:w="1235"/>
          </w:tcPr>
          <w:p>
            <w:pPr>
              <w:spacing w:line="360" w:lineRule="auto" w:before="0" w:after="0"/>
              <w:jc w:val="center"/>
            </w:pPr>
            <w:r>
              <w:rPr>
                <w:rFonts w:ascii="宋体" w:hAnsi="宋体" w:eastAsia="宋体"/>
                <w:b w:val="0"/>
                <w:sz w:val="21"/>
              </w:rPr>
              <w:t>0.3778</w:t>
            </w:r>
          </w:p>
        </w:tc>
        <w:tc>
          <w:tcPr>
            <w:tcW w:type="dxa" w:w="1235"/>
          </w:tcPr>
          <w:p>
            <w:pPr>
              <w:spacing w:line="360" w:lineRule="auto" w:before="0" w:after="0"/>
              <w:jc w:val="center"/>
            </w:pPr>
            <w:r>
              <w:rPr>
                <w:rFonts w:ascii="宋体" w:hAnsi="宋体" w:eastAsia="宋体"/>
                <w:b w:val="0"/>
                <w:sz w:val="21"/>
              </w:rPr>
              <w:t>0.3333</w:t>
            </w:r>
          </w:p>
        </w:tc>
        <w:tc>
          <w:tcPr>
            <w:tcW w:type="dxa" w:w="1235"/>
          </w:tcPr>
          <w:p>
            <w:pPr>
              <w:spacing w:line="360" w:lineRule="auto" w:before="0" w:after="0"/>
              <w:jc w:val="center"/>
            </w:pPr>
            <w:r>
              <w:rPr>
                <w:rFonts w:ascii="宋体" w:hAnsi="宋体" w:eastAsia="宋体"/>
                <w:b w:val="0"/>
                <w:sz w:val="21"/>
              </w:rPr>
              <w:t>0.2727</w:t>
            </w:r>
          </w:p>
        </w:tc>
        <w:tc>
          <w:tcPr>
            <w:tcW w:type="dxa" w:w="1235"/>
          </w:tcPr>
          <w:p>
            <w:pPr>
              <w:spacing w:line="360" w:lineRule="auto" w:before="0" w:after="0"/>
              <w:jc w:val="center"/>
            </w:pPr>
            <w:r>
              <w:rPr>
                <w:rFonts w:ascii="宋体" w:hAnsi="宋体" w:eastAsia="宋体"/>
                <w:b w:val="0"/>
                <w:sz w:val="21"/>
              </w:rPr>
              <w:t>0.3000</w:t>
            </w:r>
          </w:p>
        </w:tc>
        <w:tc>
          <w:tcPr>
            <w:tcW w:type="dxa" w:w="1235"/>
          </w:tcPr>
          <w:p>
            <w:pPr>
              <w:spacing w:line="360" w:lineRule="auto" w:before="0" w:after="0"/>
              <w:jc w:val="center"/>
            </w:pPr>
            <w:r>
              <w:rPr>
                <w:rFonts w:ascii="宋体" w:hAnsi="宋体" w:eastAsia="宋体"/>
                <w:b w:val="0"/>
                <w:sz w:val="21"/>
              </w:rPr>
              <w:t>0.3597</w:t>
            </w:r>
          </w:p>
        </w:tc>
        <w:tc>
          <w:tcPr>
            <w:tcW w:type="dxa" w:w="1235"/>
          </w:tcPr>
          <w:p>
            <w:pPr>
              <w:spacing w:line="360" w:lineRule="auto" w:before="0" w:after="0"/>
              <w:jc w:val="center"/>
            </w:pPr>
          </w:p>
        </w:tc>
      </w:tr>
    </w:tbl>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从表4可以看出，五种模型在股票数据上的准确率均在38%~47%之间，不仅低于50%的随机基线，AUC值也均低于0.5（线性回归0.344、逻辑回归0.346、决策树0.459、随机森林0.391、KNN 0.360）。AUC低于0.5意味着模型的预测方向与真实涨跌方向呈反向关系，即模型预测"涨"的样本反而更可能"跌"。这一结果虽然不理想，但却非常真实地反映了金融预测的困难性。</w:t>
      </w:r>
    </w:p>
    <w:p>
      <w:pPr>
        <w:spacing w:line="360" w:lineRule="auto" w:before="0" w:after="0"/>
        <w:ind w:firstLine="420"/>
        <w:jc w:val="both"/>
      </w:pPr>
      <w:r>
        <w:rPr>
          <w:rFonts w:ascii="宋体" w:hAnsi="宋体" w:eastAsia="宋体"/>
          <w:b w:val="0"/>
          <w:sz w:val="21"/>
        </w:rPr>
        <w:t>图8展示了决策树模型在股票测试集上的混淆矩阵。在45个测试样本中，决策树仅正确分类了18个样本（TP=9，TN=9），错误分类27个样本（FP=14，FN=13），准确率仅为40%。特别是FP=14，意味着有14个实际下跌的交易日被模型预测为上涨，如果据此进行交易，将直接导致14次亏损操作。</w:t>
      </w:r>
    </w:p>
    <w:p>
      <w:pPr>
        <w:spacing w:before="120" w:after="0"/>
        <w:jc w:val="center"/>
      </w:pPr>
      <w:r>
        <w:drawing>
          <wp:inline xmlns:a="http://schemas.openxmlformats.org/drawingml/2006/main" xmlns:pic="http://schemas.openxmlformats.org/drawingml/2006/picture">
            <wp:extent cx="5040000" cy="4157288"/>
            <wp:docPr id="8" name="Picture 8"/>
            <wp:cNvGraphicFramePr>
              <a:graphicFrameLocks noChangeAspect="1"/>
            </wp:cNvGraphicFramePr>
            <a:graphic>
              <a:graphicData uri="http://schemas.openxmlformats.org/drawingml/2006/picture">
                <pic:pic>
                  <pic:nvPicPr>
                    <pic:cNvPr id="0" name="stock_600900_fig1_cm_dt.png"/>
                    <pic:cNvPicPr/>
                  </pic:nvPicPr>
                  <pic:blipFill>
                    <a:blip r:embed="rId16"/>
                    <a:stretch>
                      <a:fillRect/>
                    </a:stretch>
                  </pic:blipFill>
                  <pic:spPr>
                    <a:xfrm>
                      <a:off x="0" y="0"/>
                      <a:ext cx="5040000" cy="4157288"/>
                    </a:xfrm>
                    <a:prstGeom prst="rect"/>
                  </pic:spPr>
                </pic:pic>
              </a:graphicData>
            </a:graphic>
          </wp:inline>
        </w:drawing>
      </w:r>
    </w:p>
    <w:p>
      <w:pPr>
        <w:spacing w:line="360" w:lineRule="auto" w:before="0" w:after="120"/>
        <w:jc w:val="center"/>
      </w:pPr>
      <w:r>
        <w:rPr>
          <w:rFonts w:ascii="宋体" w:hAnsi="宋体" w:eastAsia="宋体"/>
          <w:b/>
          <w:sz w:val="20"/>
        </w:rPr>
        <w:t>图8 股票数据集决策树模型混淆矩阵</w:t>
      </w:r>
    </w:p>
    <w:p>
      <w:pPr>
        <w:spacing w:line="360" w:lineRule="auto" w:before="0" w:after="0"/>
        <w:ind w:firstLine="420"/>
        <w:jc w:val="both"/>
      </w:pPr>
      <w:r>
        <w:rPr>
          <w:rFonts w:ascii="宋体" w:hAnsi="宋体" w:eastAsia="宋体"/>
          <w:b w:val="0"/>
          <w:sz w:val="21"/>
        </w:rPr>
        <w:t>图9展示了随机森林模型的混淆矩阵。随机森林的正确分类数提升至21个（TP=8，TN=13），准确率46.67%，略优于决策树，但仍然低于随机基线。随机森林在识别下跌样本（TN=13）方面表现稍好，但在识别上涨样本（TP=8）方面依然较弱。</w:t>
      </w:r>
    </w:p>
    <w:p>
      <w:pPr>
        <w:spacing w:before="120" w:after="0"/>
        <w:jc w:val="center"/>
      </w:pPr>
      <w:r>
        <w:drawing>
          <wp:inline xmlns:a="http://schemas.openxmlformats.org/drawingml/2006/main" xmlns:pic="http://schemas.openxmlformats.org/drawingml/2006/picture">
            <wp:extent cx="5040000" cy="4157288"/>
            <wp:docPr id="9" name="Picture 9"/>
            <wp:cNvGraphicFramePr>
              <a:graphicFrameLocks noChangeAspect="1"/>
            </wp:cNvGraphicFramePr>
            <a:graphic>
              <a:graphicData uri="http://schemas.openxmlformats.org/drawingml/2006/picture">
                <pic:pic>
                  <pic:nvPicPr>
                    <pic:cNvPr id="0" name="stock_600900_fig2_cm_rf.png"/>
                    <pic:cNvPicPr/>
                  </pic:nvPicPr>
                  <pic:blipFill>
                    <a:blip r:embed="rId17"/>
                    <a:stretch>
                      <a:fillRect/>
                    </a:stretch>
                  </pic:blipFill>
                  <pic:spPr>
                    <a:xfrm>
                      <a:off x="0" y="0"/>
                      <a:ext cx="5040000" cy="4157288"/>
                    </a:xfrm>
                    <a:prstGeom prst="rect"/>
                  </pic:spPr>
                </pic:pic>
              </a:graphicData>
            </a:graphic>
          </wp:inline>
        </w:drawing>
      </w:r>
    </w:p>
    <w:p>
      <w:pPr>
        <w:spacing w:line="360" w:lineRule="auto" w:before="0" w:after="120"/>
        <w:jc w:val="center"/>
      </w:pPr>
      <w:r>
        <w:rPr>
          <w:rFonts w:ascii="宋体" w:hAnsi="宋体" w:eastAsia="宋体"/>
          <w:b/>
          <w:sz w:val="20"/>
        </w:rPr>
        <w:t>图9 股票数据集随机森林模型混淆矩阵</w:t>
      </w:r>
    </w:p>
    <w:p>
      <w:pPr>
        <w:spacing w:line="360" w:lineRule="auto" w:before="0" w:after="0"/>
        <w:ind w:firstLine="420"/>
        <w:jc w:val="both"/>
      </w:pPr>
      <w:r>
        <w:rPr>
          <w:rFonts w:ascii="宋体" w:hAnsi="宋体" w:eastAsia="宋体"/>
          <w:b w:val="0"/>
          <w:sz w:val="21"/>
        </w:rPr>
        <w:t>图10展示了线性回归模型的混淆矩阵。线性回归正确分类了19个样本（TP=5，TN=14），准确率42.22%。线性回归在识别下跌样本（TN=14）方面是五种模型中最多的，但在识别上涨样本（TP=5）方面表现最弱，说明线性回归在股票数据上倾向于将样本预测为负类（下跌）。这可能与线性回归的输出不受Sigmoid约束有关，在训练集正负类不均衡的情况下（负类123个 vs 正类101个），线性回归的决策阈值偏离了最优位置。</w:t>
      </w:r>
    </w:p>
    <w:p>
      <w:pPr>
        <w:spacing w:before="120" w:after="0"/>
        <w:jc w:val="center"/>
      </w:pPr>
      <w:r>
        <w:drawing>
          <wp:inline xmlns:a="http://schemas.openxmlformats.org/drawingml/2006/main" xmlns:pic="http://schemas.openxmlformats.org/drawingml/2006/picture">
            <wp:extent cx="5040000" cy="4157288"/>
            <wp:docPr id="10" name="Picture 10"/>
            <wp:cNvGraphicFramePr>
              <a:graphicFrameLocks noChangeAspect="1"/>
            </wp:cNvGraphicFramePr>
            <a:graphic>
              <a:graphicData uri="http://schemas.openxmlformats.org/drawingml/2006/picture">
                <pic:pic>
                  <pic:nvPicPr>
                    <pic:cNvPr id="0" name="stock_600900_fig3_cm_lr.png"/>
                    <pic:cNvPicPr/>
                  </pic:nvPicPr>
                  <pic:blipFill>
                    <a:blip r:embed="rId18"/>
                    <a:stretch>
                      <a:fillRect/>
                    </a:stretch>
                  </pic:blipFill>
                  <pic:spPr>
                    <a:xfrm>
                      <a:off x="0" y="0"/>
                      <a:ext cx="5040000" cy="4157288"/>
                    </a:xfrm>
                    <a:prstGeom prst="rect"/>
                  </pic:spPr>
                </pic:pic>
              </a:graphicData>
            </a:graphic>
          </wp:inline>
        </w:drawing>
      </w:r>
    </w:p>
    <w:p>
      <w:pPr>
        <w:spacing w:line="360" w:lineRule="auto" w:before="0" w:after="120"/>
        <w:jc w:val="center"/>
      </w:pPr>
      <w:r>
        <w:rPr>
          <w:rFonts w:ascii="宋体" w:hAnsi="宋体" w:eastAsia="宋体"/>
          <w:b/>
          <w:sz w:val="20"/>
        </w:rPr>
        <w:t>图10 股票数据集线性回归模型混淆矩阵</w:t>
      </w:r>
    </w:p>
    <w:p>
      <w:pPr>
        <w:spacing w:line="360" w:lineRule="auto" w:before="0" w:after="0"/>
        <w:ind w:firstLine="420"/>
        <w:jc w:val="both"/>
      </w:pPr>
      <w:r>
        <w:rPr>
          <w:rFonts w:ascii="宋体" w:hAnsi="宋体" w:eastAsia="宋体"/>
          <w:b w:val="0"/>
          <w:sz w:val="21"/>
        </w:rPr>
        <w:t>图11展示了KNN模型的混淆矩阵。KNN仅正确分类了17个样本（TP=6，TN=11），准确率37.78%，是五种模型中最低的。KNN在股票数据上表现最差，可能原因有二：一是股票数据的11维特征空间中，样本之间的距离区分度不高，KNN难以找到有意义的近邻；二是训练集仅179个样本，在高维空间中过于稀疏，KNN的"维度灾难"效应明显。</w:t>
      </w:r>
    </w:p>
    <w:p>
      <w:pPr>
        <w:spacing w:before="120" w:after="0"/>
        <w:jc w:val="center"/>
      </w:pPr>
      <w:r>
        <w:drawing>
          <wp:inline xmlns:a="http://schemas.openxmlformats.org/drawingml/2006/main" xmlns:pic="http://schemas.openxmlformats.org/drawingml/2006/picture">
            <wp:extent cx="5040000" cy="4157288"/>
            <wp:docPr id="11" name="Picture 11"/>
            <wp:cNvGraphicFramePr>
              <a:graphicFrameLocks noChangeAspect="1"/>
            </wp:cNvGraphicFramePr>
            <a:graphic>
              <a:graphicData uri="http://schemas.openxmlformats.org/drawingml/2006/picture">
                <pic:pic>
                  <pic:nvPicPr>
                    <pic:cNvPr id="0" name="stock_600900_fig4_cm_knn.png"/>
                    <pic:cNvPicPr/>
                  </pic:nvPicPr>
                  <pic:blipFill>
                    <a:blip r:embed="rId19"/>
                    <a:stretch>
                      <a:fillRect/>
                    </a:stretch>
                  </pic:blipFill>
                  <pic:spPr>
                    <a:xfrm>
                      <a:off x="0" y="0"/>
                      <a:ext cx="5040000" cy="4157288"/>
                    </a:xfrm>
                    <a:prstGeom prst="rect"/>
                  </pic:spPr>
                </pic:pic>
              </a:graphicData>
            </a:graphic>
          </wp:inline>
        </w:drawing>
      </w:r>
    </w:p>
    <w:p>
      <w:pPr>
        <w:spacing w:line="360" w:lineRule="auto" w:before="0" w:after="120"/>
        <w:jc w:val="center"/>
      </w:pPr>
      <w:r>
        <w:rPr>
          <w:rFonts w:ascii="宋体" w:hAnsi="宋体" w:eastAsia="宋体"/>
          <w:b/>
          <w:sz w:val="20"/>
        </w:rPr>
        <w:t>图11 股票数据集KNN模型混淆矩阵</w:t>
      </w:r>
    </w:p>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图12展示了五种模型在股票数据集上的ROC曲线对比。与乳腺癌数据集形成鲜明对比的是，五条ROC曲线均位于对角线下方或紧贴对角线，AUC值均低于0.5，说明模型的排序能力为负向，即模型倾向于给实际下跌的样本更高的上涨概率。其中决策树的AUC（0.459）最接近0.5，但也未达到有效预测的水平。</w:t>
      </w:r>
    </w:p>
    <w:p>
      <w:pPr>
        <w:spacing w:before="120" w:after="0"/>
        <w:jc w:val="center"/>
      </w:pPr>
      <w:r>
        <w:drawing>
          <wp:inline xmlns:a="http://schemas.openxmlformats.org/drawingml/2006/main" xmlns:pic="http://schemas.openxmlformats.org/drawingml/2006/picture">
            <wp:extent cx="5040000" cy="3762973"/>
            <wp:docPr id="12" name="Picture 12"/>
            <wp:cNvGraphicFramePr>
              <a:graphicFrameLocks noChangeAspect="1"/>
            </wp:cNvGraphicFramePr>
            <a:graphic>
              <a:graphicData uri="http://schemas.openxmlformats.org/drawingml/2006/picture">
                <pic:pic>
                  <pic:nvPicPr>
                    <pic:cNvPr id="0" name="stock_600900_fig5_roc.png"/>
                    <pic:cNvPicPr/>
                  </pic:nvPicPr>
                  <pic:blipFill>
                    <a:blip r:embed="rId20"/>
                    <a:stretch>
                      <a:fillRect/>
                    </a:stretch>
                  </pic:blipFill>
                  <pic:spPr>
                    <a:xfrm>
                      <a:off x="0" y="0"/>
                      <a:ext cx="5040000" cy="3762973"/>
                    </a:xfrm>
                    <a:prstGeom prst="rect"/>
                  </pic:spPr>
                </pic:pic>
              </a:graphicData>
            </a:graphic>
          </wp:inline>
        </w:drawing>
      </w:r>
    </w:p>
    <w:p>
      <w:pPr>
        <w:spacing w:line="360" w:lineRule="auto" w:before="0" w:after="120"/>
        <w:jc w:val="center"/>
      </w:pPr>
      <w:r>
        <w:rPr>
          <w:rFonts w:ascii="宋体" w:hAnsi="宋体" w:eastAsia="宋体"/>
          <w:b/>
          <w:sz w:val="20"/>
        </w:rPr>
        <w:t>图12 股票数据集五种模型ROC曲线对比</w:t>
      </w:r>
    </w:p>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这一现象的可能原因包括以下几个方面。第一，样本量过小。224个有效样本中训练集仅179个，测试集仅45个，对于11维特征的模型而言，数据量严重不足，模型难以学习到稳定的模式。第二，金融市场具有弱有效性。根据有效市场假说，当前价格已经反映了所有历史信息，基于历史技术指标预测次日涨跌本身就极具挑战性。第三，训练集与测试集跨越不同的市场阶段。训练集覆盖了前80%的交易日，测试集覆盖了最后20%的交易日，两个时期的市场环境可能存在显著差异（如训练期偏上涨，测试期偏下跌），导致模型在训练集上学到的模式在测试集上失效甚至反向。第四，简单技术指标的信息含量有限。本任务使用的MA偏离度、RSI等技术指标是市场广泛使用的基础指标，其包含的预测信息可能已被市场充分定价。</w:t>
      </w:r>
    </w:p>
    <w:p>
      <w:pPr>
        <w:spacing w:line="360" w:lineRule="auto" w:before="0" w:after="0"/>
        <w:ind w:firstLine="420"/>
        <w:jc w:val="both"/>
      </w:pPr>
      <w:r>
        <w:rPr>
          <w:rFonts w:ascii="宋体" w:hAnsi="宋体" w:eastAsia="宋体"/>
          <w:b w:val="0"/>
          <w:sz w:val="21"/>
        </w:rPr>
        <w:t>图13以柱状图形式对比了五种模型在股票数据上的AUC值。五种模型的AUC均低于0.5的随机基线，其中决策树的AUC（0.459）最接近0.5，KNN（0.360）和线性回归（0.344）最低。这一结果在量化交易领域具有普遍性参考意义：简单的机器学习模型加上基础技术指标，难以在金融市场中获得稳定的预测优势。要提升预测效果，需要更丰富的特征工程（如基本面因子、情绪因子、宏观经济因子等）、更大的数据量、以及更复杂的模型架构。</w:t>
      </w:r>
    </w:p>
    <w:p>
      <w:pPr>
        <w:spacing w:before="120" w:after="0"/>
        <w:jc w:val="center"/>
      </w:pPr>
      <w:r>
        <w:drawing>
          <wp:inline xmlns:a="http://schemas.openxmlformats.org/drawingml/2006/main" xmlns:pic="http://schemas.openxmlformats.org/drawingml/2006/picture">
            <wp:extent cx="5040000" cy="3212147"/>
            <wp:docPr id="13" name="Picture 13"/>
            <wp:cNvGraphicFramePr>
              <a:graphicFrameLocks noChangeAspect="1"/>
            </wp:cNvGraphicFramePr>
            <a:graphic>
              <a:graphicData uri="http://schemas.openxmlformats.org/drawingml/2006/picture">
                <pic:pic>
                  <pic:nvPicPr>
                    <pic:cNvPr id="0" name="stock_600900_fig6_auc_bar.png"/>
                    <pic:cNvPicPr/>
                  </pic:nvPicPr>
                  <pic:blipFill>
                    <a:blip r:embed="rId21"/>
                    <a:stretch>
                      <a:fillRect/>
                    </a:stretch>
                  </pic:blipFill>
                  <pic:spPr>
                    <a:xfrm>
                      <a:off x="0" y="0"/>
                      <a:ext cx="5040000" cy="3212147"/>
                    </a:xfrm>
                    <a:prstGeom prst="rect"/>
                  </pic:spPr>
                </pic:pic>
              </a:graphicData>
            </a:graphic>
          </wp:inline>
        </w:drawing>
      </w:r>
    </w:p>
    <w:p>
      <w:pPr>
        <w:spacing w:line="360" w:lineRule="auto" w:before="0" w:after="120"/>
        <w:jc w:val="center"/>
      </w:pPr>
      <w:r>
        <w:rPr>
          <w:rFonts w:ascii="宋体" w:hAnsi="宋体" w:eastAsia="宋体"/>
          <w:b/>
          <w:sz w:val="20"/>
        </w:rPr>
        <w:t>图13 股票数据集五种模型AUC对比</w:t>
      </w:r>
    </w:p>
    <w:p>
      <w:pPr>
        <w:spacing w:line="360" w:lineRule="auto" w:before="0" w:after="0"/>
        <w:jc w:val="both"/>
      </w:pPr>
      <w:r>
        <w:rPr>
          <w:rFonts w:ascii="宋体" w:hAnsi="宋体" w:eastAsia="宋体"/>
          <w:b w:val="0"/>
          <w:sz w:val="21"/>
        </w:rPr>
      </w:r>
    </w:p>
    <w:p>
      <w:pPr>
        <w:spacing w:line="360" w:lineRule="auto" w:before="0" w:after="0"/>
        <w:ind w:firstLine="420"/>
        <w:jc w:val="both"/>
      </w:pPr>
      <w:r>
        <w:rPr>
          <w:rFonts w:ascii="宋体" w:hAnsi="宋体" w:eastAsia="宋体"/>
          <w:b w:val="0"/>
          <w:sz w:val="21"/>
        </w:rPr>
        <w:t>图14展示了随机森林在股票数据上的特征重要性排序。从图中可以看出，RSI(14)、10日动量和MA5偏离度是最重要的三个特征，但所有特征的重要性分布相对均匀，没有某个特征占据绝对主导地位。这说明在股票预测任务中，单个技术指标的预测力有限，模型难以找到强信号特征，这也是AUC偏低的原因之一。</w:t>
      </w:r>
    </w:p>
    <w:p>
      <w:pPr>
        <w:spacing w:before="120" w:after="0"/>
        <w:jc w:val="center"/>
      </w:pPr>
      <w:r>
        <w:drawing>
          <wp:inline xmlns:a="http://schemas.openxmlformats.org/drawingml/2006/main" xmlns:pic="http://schemas.openxmlformats.org/drawingml/2006/picture">
            <wp:extent cx="5040000" cy="3131361"/>
            <wp:docPr id="14" name="Picture 14"/>
            <wp:cNvGraphicFramePr>
              <a:graphicFrameLocks noChangeAspect="1"/>
            </wp:cNvGraphicFramePr>
            <a:graphic>
              <a:graphicData uri="http://schemas.openxmlformats.org/drawingml/2006/picture">
                <pic:pic>
                  <pic:nvPicPr>
                    <pic:cNvPr id="0" name="stock_600900_fig7_feature_imp.png"/>
                    <pic:cNvPicPr/>
                  </pic:nvPicPr>
                  <pic:blipFill>
                    <a:blip r:embed="rId22"/>
                    <a:stretch>
                      <a:fillRect/>
                    </a:stretch>
                  </pic:blipFill>
                  <pic:spPr>
                    <a:xfrm>
                      <a:off x="0" y="0"/>
                      <a:ext cx="5040000" cy="3131361"/>
                    </a:xfrm>
                    <a:prstGeom prst="rect"/>
                  </pic:spPr>
                </pic:pic>
              </a:graphicData>
            </a:graphic>
          </wp:inline>
        </w:drawing>
      </w:r>
    </w:p>
    <w:p>
      <w:pPr>
        <w:spacing w:line="360" w:lineRule="auto" w:before="0" w:after="120"/>
        <w:jc w:val="center"/>
      </w:pPr>
      <w:r>
        <w:rPr>
          <w:rFonts w:ascii="宋体" w:hAnsi="宋体" w:eastAsia="宋体"/>
          <w:b/>
          <w:sz w:val="20"/>
        </w:rPr>
        <w:t>图14 股票数据集随机森林特征重要性</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4.6 实验结论</w:t>
      </w:r>
    </w:p>
    <w:p>
      <w:pPr>
        <w:spacing w:line="360" w:lineRule="auto" w:before="0" w:after="0"/>
        <w:ind w:firstLine="420"/>
        <w:jc w:val="both"/>
      </w:pPr>
      <w:r>
        <w:rPr>
          <w:rFonts w:ascii="宋体" w:hAnsi="宋体" w:eastAsia="宋体"/>
          <w:b w:val="0"/>
          <w:sz w:val="21"/>
        </w:rPr>
        <w:t>通过两个数据集的对比实验，可以得出以下结论：第一，机器学习模型在结构化数据上表现优异。乳腺癌数据集上五种模型的AUC均超过0.91，逻辑回归和随机森林更是接近完美（AUC &gt; 0.99），说明当特征与目标之间存在明确的映射关系时，机器学习能够有效捕捉这种关系。</w:t>
      </w:r>
    </w:p>
    <w:p>
      <w:pPr>
        <w:spacing w:line="360" w:lineRule="auto" w:before="0" w:after="0"/>
        <w:ind w:firstLine="420"/>
        <w:jc w:val="both"/>
      </w:pPr>
      <w:r>
        <w:rPr>
          <w:rFonts w:ascii="宋体" w:hAnsi="宋体" w:eastAsia="宋体"/>
          <w:b w:val="0"/>
          <w:sz w:val="21"/>
        </w:rPr>
        <w:t>第二，金融时间序列预测具有极高的挑战性。股票数据集上五种模型的AUC均低于0.5，远不如在医学数据上的表现。这一结果并非模型本身的问题，而是反映了金融市场的高度复杂性和有效性。简单技术指标和有限样本量难以支撑有效的涨跌预测，这也印证了量化交易中"没有银弹"的现实。</w:t>
      </w:r>
    </w:p>
    <w:p>
      <w:pPr>
        <w:spacing w:line="360" w:lineRule="auto" w:before="0" w:after="0"/>
        <w:ind w:firstLine="420"/>
        <w:jc w:val="both"/>
      </w:pPr>
      <w:r>
        <w:rPr>
          <w:rFonts w:ascii="宋体" w:hAnsi="宋体" w:eastAsia="宋体"/>
          <w:b w:val="0"/>
          <w:sz w:val="21"/>
        </w:rPr>
        <w:t>第三，时间序列数据的正确划分至关重要。本任务对股票数据采用时间顺序划分，虽然模型表现不佳，但这一结果是真实可信的。如果错误地使用随机划分，模型可能会因为数据泄露而获得虚高的评估指标，在实盘中将面临严重的亏损风险。</w:t>
      </w:r>
    </w:p>
    <w:p>
      <w:pPr>
        <w:spacing w:line="360" w:lineRule="auto" w:before="0" w:after="0"/>
        <w:ind w:firstLine="420"/>
        <w:jc w:val="both"/>
      </w:pPr>
      <w:r>
        <w:rPr>
          <w:rFonts w:ascii="宋体" w:hAnsi="宋体" w:eastAsia="宋体"/>
          <w:b w:val="0"/>
          <w:sz w:val="21"/>
        </w:rPr>
        <w:t>第四，模型选择应因地制宜。在乳腺癌数据集上，简单的逻辑回归反而表现最好，说明并非越复杂的模型越好；而在股票数据上，五种模型的表现差异不大，说明数据质量和特征工程才是决定性因素。实际应用中应先建立baseline，再逐步尝试更复杂的模型和更丰富的特征。</w:t>
      </w:r>
    </w:p>
    <w:p>
      <w:pPr>
        <w:spacing w:line="360" w:lineRule="auto" w:before="0" w:after="0"/>
        <w:ind w:firstLine="420"/>
        <w:jc w:val="both"/>
      </w:pPr>
      <w:r>
        <w:rPr>
          <w:rFonts w:ascii="宋体" w:hAnsi="宋体" w:eastAsia="宋体"/>
          <w:b w:val="0"/>
          <w:sz w:val="21"/>
        </w:rPr>
        <w:t>第五，线性回归与逻辑回归在分类任务中表现相近但有差异。在乳腺癌数据集上两者AUC相差仅0.003，但在股票数据上，线性回归由于缺乏Sigmoid约束，对阈值更敏感。这印证了对于分类任务，逻辑回归在理论上是比线性回归更合适的选择，但在特征-目标关系接近线性的场景下，线性回归同样具有竞争力。</w:t>
      </w:r>
    </w:p>
    <w:p>
      <w:pPr>
        <w:spacing w:line="360" w:lineRule="auto" w:before="0" w:after="0"/>
        <w:jc w:val="both"/>
      </w:pPr>
      <w:r>
        <w:rPr>
          <w:rFonts w:ascii="宋体" w:hAnsi="宋体" w:eastAsia="宋体"/>
          <w:b w:val="0"/>
          <w:sz w:val="21"/>
        </w:rPr>
      </w:r>
    </w:p>
    <w:p>
      <w:pPr>
        <w:spacing w:line="360" w:lineRule="auto" w:before="0" w:after="0"/>
        <w:ind w:firstLine="0"/>
        <w:jc w:val="left"/>
      </w:pPr>
      <w:r>
        <w:rPr>
          <w:rFonts w:ascii="宋体" w:hAnsi="宋体" w:eastAsia="宋体"/>
          <w:b/>
          <w:sz w:val="21"/>
        </w:rPr>
        <w:t>五、总结与展望</w:t>
      </w:r>
    </w:p>
    <w:p>
      <w:pPr>
        <w:spacing w:line="360" w:lineRule="auto" w:before="0" w:after="0"/>
        <w:ind w:firstLine="0"/>
        <w:jc w:val="left"/>
      </w:pPr>
      <w:r>
        <w:rPr>
          <w:rFonts w:ascii="宋体" w:hAnsi="宋体" w:eastAsia="宋体"/>
          <w:b/>
          <w:sz w:val="21"/>
        </w:rPr>
        <w:t>5.1 本任务收获</w:t>
      </w:r>
    </w:p>
    <w:p>
      <w:pPr>
        <w:spacing w:line="360" w:lineRule="auto" w:before="0" w:after="0"/>
        <w:ind w:firstLine="420"/>
        <w:jc w:val="both"/>
      </w:pPr>
      <w:r>
        <w:rPr>
          <w:rFonts w:ascii="宋体" w:hAnsi="宋体" w:eastAsia="宋体"/>
          <w:b w:val="0"/>
          <w:sz w:val="21"/>
        </w:rPr>
        <w:t>通过本次TASK5的实践，我对机器学习算法有了系统的认识和理解。在理论层面，深入学习了线性回归、逻辑回归、决策树、随机森林和KNN五种算法的原理、优缺点和适用场景，掌握了混淆矩阵、AUC、ROC曲线等核心评价指标的计算方法和解读能力。在实践层面，通过Python编程完成了从数据加载、特征工程、数据划分、模型训练到模型评估的完整机器学习流程，并在两个不同类型的数据集上进行了对比实验。</w:t>
      </w:r>
    </w:p>
    <w:p>
      <w:pPr>
        <w:spacing w:line="360" w:lineRule="auto" w:before="0" w:after="0"/>
        <w:ind w:firstLine="420"/>
        <w:jc w:val="both"/>
      </w:pPr>
      <w:r>
        <w:rPr>
          <w:rFonts w:ascii="宋体" w:hAnsi="宋体" w:eastAsia="宋体"/>
          <w:b w:val="0"/>
          <w:sz w:val="21"/>
        </w:rPr>
        <w:t>最深刻的收获来自于两个数据集的对比实验结果。乳腺癌数据集上模型表现优异，AUC接近1.0，展示了机器学习在结构化数据上的强大能力；而股票数据集上模型AUC低于0.5，真实地揭示了金融预测的困难性。这一对比让我深刻认识到，机器学习并非万能工具，其效果在很大程度上取决于数据质量和问题本身的可预测性。在量化交易中应用机器学习时，必须对市场的有效性保持敬畏，不能盲目依赖模型的预测结果。</w:t>
      </w:r>
    </w:p>
    <w:p>
      <w:pPr>
        <w:spacing w:line="360" w:lineRule="auto" w:before="0" w:after="0"/>
        <w:ind w:firstLine="0"/>
        <w:jc w:val="left"/>
      </w:pPr>
      <w:r>
        <w:rPr>
          <w:rFonts w:ascii="宋体" w:hAnsi="宋体" w:eastAsia="宋体"/>
          <w:b/>
          <w:sz w:val="21"/>
        </w:rPr>
        <w:t>5.2 局限与改进方向</w:t>
      </w:r>
    </w:p>
    <w:p>
      <w:pPr>
        <w:spacing w:line="360" w:lineRule="auto" w:before="0" w:after="0"/>
        <w:ind w:firstLine="420"/>
        <w:jc w:val="both"/>
      </w:pPr>
      <w:r>
        <w:rPr>
          <w:rFonts w:ascii="宋体" w:hAnsi="宋体" w:eastAsia="宋体"/>
          <w:b w:val="0"/>
          <w:sz w:val="21"/>
        </w:rPr>
        <w:t>本任务存在以下局限性：第一，股票数据样本量较小（224个有效样本），不足以支撑复杂的机器学习模型；第二，特征工程较为基础，仅使用了MA偏离度、RSI等技术指标，未包含基本面因子、情绪因子等更丰富的信息源；第三，模型超参数未经系统调优，可能存在提升空间；第四，未考虑交易成本、滑点等实际交易因素。</w:t>
      </w:r>
    </w:p>
    <w:p>
      <w:pPr>
        <w:spacing w:line="360" w:lineRule="auto" w:before="0" w:after="0"/>
        <w:ind w:firstLine="420"/>
        <w:jc w:val="both"/>
      </w:pPr>
      <w:r>
        <w:rPr>
          <w:rFonts w:ascii="宋体" w:hAnsi="宋体" w:eastAsia="宋体"/>
          <w:b w:val="0"/>
          <w:sz w:val="21"/>
        </w:rPr>
        <w:t>未来的改进方向包括：第一，扩大数据范围，使用更多股票、更长时间跨度的数据；第二，丰富特征工程，引入基本面因子（如市盈率、市净率）、情绪因子（如新闻情感分析）、宏观经济因子（如利率、CPI）等；第三，使用更先进的模型架构，如XGBoost、LightGBM、神经网络等；第四，进行系统的超参数调优，如网格搜索或贝叶斯优化；第五，将分类预测与具体的交易策略结合，在回测框架中评估模型的实际盈利能力，而非仅看AUC指标。</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