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林富强_作业5：可解释性实践</w:t>
      </w:r>
    </w:p>
    <w:p>
      <w:pPr>
        <w:jc w:val="center"/>
      </w:pPr>
      <w:r>
        <w:rPr>
          <w:rFonts w:ascii="楷体" w:hAnsi="楷体" w:eastAsia="楷体"/>
          <w:sz w:val="21"/>
        </w:rPr>
        <w:t>《负责任人工智能：原则、治理与量化方法》  |  作者：黄斐（新南威尔士大学）  |  专业：软件工程</w:t>
      </w:r>
    </w:p>
    <w:p>
      <w:pPr>
        <w:jc w:val="left"/>
      </w:pPr>
      <w:r>
        <w:rPr>
          <w:rFonts w:ascii="黑体" w:hAnsi="黑体" w:eastAsia="黑体"/>
          <w:b/>
          <w:sz w:val="32"/>
        </w:rPr>
        <w:t>概述</w:t>
      </w:r>
    </w:p>
    <w:p>
      <w:r>
        <w:rPr>
          <w:rFonts w:ascii="宋体" w:hAnsi="宋体" w:eastAsia="宋体"/>
          <w:sz w:val="21"/>
        </w:rPr>
        <w:t>本作业延伸自第 5 章的车险可解释性案例研究，遵循「全局重要性 → 主效应 → 局部解释」的通用工作流程，将 PDP/ALE 与 TreeSHAP 应用于讲座未详析的变量（Density）与非示例保单，并对 PFI/PDP/ALE/SHAP 四种方法作批判性评估。</w:t>
      </w:r>
    </w:p>
    <w:p>
      <w:r>
        <w:rPr>
          <w:rFonts w:ascii="宋体" w:hAnsi="宋体" w:eastAsia="宋体"/>
          <w:sz w:val="21"/>
        </w:rPr>
        <w:t>数据：pg15training 法国车险竞赛数据（CASdatasets 包的 RData 由 R 4.6.1 导出，移除首 21 条重复观测后 100,000 条保单，2009 与 2010 年各 50,000 条），13 个定价因子（Age, Bonus, Density, Group1, Group2, SubGroup2, Occupation, Gender, Poldur, Type, Value, Category, Adind），其中 8 个分类变量独热编码后设计矩阵共 524 列。</w:t>
      </w:r>
    </w:p>
    <w:p>
      <w:r>
        <w:rPr>
          <w:rFonts w:ascii="宋体" w:hAnsi="宋体" w:eastAsia="宋体"/>
          <w:sz w:val="21"/>
        </w:rPr>
        <w:t>模型：XGBoost 泊松频率模型（objective=count:poisson，offset=log(Exposure)，eta=0.05，max_depth=4，subsample/colsample=0.8，15% 内部验证集早停，best_iteration=1093）。测试集评估：RMSE=0.3939、Poisson Deviance=0.4838、观测均值=0.1503、预测均值=0.1470，与讲座值 0.3929 / 0.4877 / 0.1494 / 0.1446 高度一致。</w:t>
      </w:r>
    </w:p>
    <w:p>
      <w:r>
        <w:rPr>
          <w:rFonts w:ascii="宋体" w:hAnsi="宋体" w:eastAsia="宋体"/>
          <w:sz w:val="21"/>
        </w:rPr>
        <w:t>为支持 SHAP 的精确加法性，作业额外训练了一个无 offset 的年化频率模型（label=ClaimNb/Exposure，best_iteration=1016），其指标 RMSE=0.3938、Poisson Deviance=0.4837 几乎相同；所有 SHAP 分析基于此模型，PDP/ALE/置换重要性则基于讲座等价的带 offset 模型。</w:t>
      </w:r>
    </w:p>
    <w:p>
      <w:pPr>
        <w:jc w:val="left"/>
      </w:pPr>
      <w:r>
        <w:rPr>
          <w:rFonts w:ascii="黑体" w:hAnsi="黑体" w:eastAsia="黑体"/>
          <w:b/>
          <w:sz w:val="32"/>
        </w:rPr>
        <w:t>问题 1 — 针对新变量 Density 的 PDP 与 ALE</w:t>
      </w:r>
    </w:p>
    <w:p>
      <w:r>
        <w:rPr>
          <w:rFonts w:ascii="宋体" w:hAnsi="宋体" w:eastAsia="宋体"/>
          <w:b/>
          <w:sz w:val="21"/>
        </w:rPr>
        <w:t>选取讲座未详析的 Density（人口密度，居民/km²；范围 14.4–297.4，中位 94.4、第 90 分位 239.5、第 99 分位 293.6）作为分析对象，复用讲座的 compute_pdp / compute_ale 函数，在测试集 5000 行子样本上以 51 个分位数网格计算。</w:t>
      </w:r>
    </w:p>
    <w:p>
      <w:r>
        <w:rPr>
          <w:rFonts w:ascii="宋体" w:hAnsi="宋体" w:eastAsia="宋体"/>
          <w:sz w:val="21"/>
        </w:rPr>
        <w:t>PDP 曲线：随着 Density 由 14 升至 297 居民/km²，平均预测年化理赔频率由约 0.09 单调上升至 0.30，整体上升约 0.21（绝对频率）/ 约 230%（相对）。曲线在 30–175 区间近乎线性，斜率约 0.001/单位，在 175 之后开始陡升，至 250–280 区间达到峰值，随后趋于平稳（300 附近）。</w:t>
      </w:r>
    </w:p>
    <w:p>
      <w:r>
        <w:rPr>
          <w:rFonts w:ascii="宋体" w:hAnsi="宋体" w:eastAsia="宋体"/>
          <w:sz w:val="21"/>
        </w:rPr>
        <w:t>ALE 曲线：呈现完全一致的形状——极低密度处为 -0.06，至中段缓慢爬升至 0.05，在约 240 之后跃升至 0.18，末端回落至约 0.13（峰值在 Density≈265）。ALE 已按落入各区间的观测数加权居中，对参考均值的偏离为 0。</w:t>
      </w:r>
    </w:p>
    <w:p>
      <w:r>
        <w:rPr>
          <w:rFonts w:ascii="宋体" w:hAnsi="宋体" w:eastAsia="宋体"/>
          <w:sz w:val="21"/>
        </w:rPr>
        <w:t>PDP 与 ALE 的高度吻合意味着 Density 与其他定价因子的相关性较弱：当 Density 在 PDP 中被替换为整个观测范围以外的取值时，其他变量保持原观测的联合分布并不造成不现实的组合，因此 PDP 几乎不受「相关变量间被置换至不现实联合取值」这一偏差影响；ALE 对相关预测变量更为稳健，当二者一致时即说明这种偏差在该变量上几乎可以忽略。在所有 51 个分位数区间上，测试集（30,000 行）落入每个区间的保单数均稳定在 500–700 之间，支撑量充足，因此高密度末端 260–293 区间的陡升与峰值不是采样伪影，而是真实的高密度风险信号——这与精算预期一致：人口稠密地区的交通冲突密度更高，小刮擦与赔付频率显著抬升。</w:t>
      </w:r>
    </w:p>
    <w:p>
      <w:r>
        <w:rPr>
          <w:rFonts w:ascii="宋体" w:hAnsi="宋体" w:eastAsia="宋体"/>
          <w:sz w:val="21"/>
        </w:rPr>
        <w:t>结论：Density 是车险频率的一个稳健且强烈的正风险因子，PDP 与 ALE 的形态一致，作业可在不做特殊校正的前提下以 PDP 概括其主效应。</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q1_pdp_ale_density.png"/>
                    <pic:cNvPicPr/>
                  </pic:nvPicPr>
                  <pic:blipFill>
                    <a:blip r:embed="rId9"/>
                    <a:stretch>
                      <a:fillRect/>
                    </a:stretch>
                  </pic:blipFill>
                  <pic:spPr>
                    <a:xfrm>
                      <a:off x="0" y="0"/>
                      <a:ext cx="5486400" cy="3429000"/>
                    </a:xfrm>
                    <a:prstGeom prst="rect"/>
                  </pic:spPr>
                </pic:pic>
              </a:graphicData>
            </a:graphic>
          </wp:inline>
        </w:drawing>
      </w:r>
    </w:p>
    <w:p>
      <w:r>
        <w:rPr>
          <w:rFonts w:ascii="宋体" w:hAnsi="宋体" w:eastAsia="宋体"/>
          <w:sz w:val="21"/>
        </w:rPr>
        <w:t>图 1：Density 的 PDP（实线）与 ALE（虚线）主效应曲线。两曲线形状高度一致，验证 Density 与其他定价因子相关性较弱，PDP 不会因不现实组合而失真。</w:t>
      </w:r>
    </w:p>
    <w:p>
      <w:pPr>
        <w:jc w:val="left"/>
      </w:pPr>
      <w:r>
        <w:rPr>
          <w:rFonts w:ascii="黑体" w:hAnsi="黑体" w:eastAsia="黑体"/>
          <w:b/>
          <w:sz w:val="32"/>
        </w:rPr>
        <w:t>问题 2 — SHAP 解释</w:t>
      </w:r>
    </w:p>
    <w:p>
      <w:r>
        <w:rPr>
          <w:rFonts w:ascii="宋体" w:hAnsi="宋体" w:eastAsia="宋体"/>
          <w:b/>
          <w:sz w:val="21"/>
        </w:rPr>
        <w:t>基于无 offset 频率模型（年化理赔频率 = exp(树输出)，TreeSHAP 路径依赖分解）计算 3000 行的 SHAP 值，并按定价变量对独热特征求和归组。</w:t>
      </w:r>
    </w:p>
    <w:p>
      <w:r>
        <w:rPr>
          <w:rFonts w:ascii="黑体" w:hAnsi="黑体" w:eastAsia="黑体"/>
          <w:b/>
          <w:sz w:val="26"/>
        </w:rPr>
        <w:t>2a 全局 SHAP 重要性</w:t>
      </w:r>
    </w:p>
    <w:p>
      <w:r>
        <w:rPr>
          <w:rFonts w:ascii="宋体" w:hAnsi="宋体" w:eastAsia="宋体"/>
          <w:sz w:val="21"/>
        </w:rPr>
        <w:t>分组 SHAP 重要性（按定价变量求和后降序）如下表所示。</w:t>
      </w:r>
    </w:p>
    <w:tbl>
      <w:tblPr>
        <w:tblStyle w:val="LightGrid-Accent1"/>
        <w:tblW w:type="auto" w:w="0"/>
        <w:tblLook w:firstColumn="1" w:firstRow="1" w:lastColumn="0" w:lastRow="0" w:noHBand="0" w:noVBand="1" w:val="04A0"/>
      </w:tblPr>
      <w:tblGrid>
        <w:gridCol w:w="4320"/>
        <w:gridCol w:w="4320"/>
      </w:tblGrid>
      <w:tr>
        <w:tc>
          <w:tcPr>
            <w:tcW w:type="dxa" w:w="3600"/>
            <w:vAlign w:val="center"/>
          </w:tcPr>
          <w:p>
            <w:r/>
            <w:r>
              <w:rPr>
                <w:rFonts w:ascii="黑体" w:hAnsi="黑体" w:eastAsia="黑体"/>
                <w:b/>
                <w:sz w:val="21"/>
              </w:rPr>
              <w:t>定价变量</w:t>
            </w:r>
          </w:p>
        </w:tc>
        <w:tc>
          <w:tcPr>
            <w:tcW w:type="dxa" w:w="3600"/>
            <w:vAlign w:val="center"/>
          </w:tcPr>
          <w:p>
            <w:r/>
            <w:r>
              <w:rPr>
                <w:rFonts w:ascii="黑体" w:hAnsi="黑体" w:eastAsia="黑体"/>
                <w:b/>
                <w:sz w:val="21"/>
              </w:rPr>
              <w:t>平均 |SHAP| 值（对数尺度）</w:t>
            </w:r>
          </w:p>
        </w:tc>
      </w:tr>
      <w:tr>
        <w:tc>
          <w:tcPr>
            <w:tcW w:type="dxa" w:w="3600"/>
            <w:vAlign w:val="center"/>
          </w:tcPr>
          <w:p>
            <w:r/>
            <w:r>
              <w:rPr>
                <w:rFonts w:ascii="宋体" w:hAnsi="宋体" w:eastAsia="宋体"/>
                <w:sz w:val="20"/>
              </w:rPr>
              <w:t>Bonus</w:t>
            </w:r>
          </w:p>
        </w:tc>
        <w:tc>
          <w:tcPr>
            <w:tcW w:type="dxa" w:w="3600"/>
            <w:vAlign w:val="center"/>
          </w:tcPr>
          <w:p>
            <w:r/>
            <w:r>
              <w:rPr>
                <w:rFonts w:ascii="宋体" w:hAnsi="宋体" w:eastAsia="宋体"/>
                <w:sz w:val="20"/>
              </w:rPr>
              <w:t>0.52253</w:t>
            </w:r>
          </w:p>
        </w:tc>
      </w:tr>
      <w:tr>
        <w:tc>
          <w:tcPr>
            <w:tcW w:type="dxa" w:w="3600"/>
            <w:vAlign w:val="center"/>
          </w:tcPr>
          <w:p>
            <w:r/>
            <w:r>
              <w:rPr>
                <w:rFonts w:ascii="宋体" w:hAnsi="宋体" w:eastAsia="宋体"/>
                <w:sz w:val="20"/>
              </w:rPr>
              <w:t>Group1</w:t>
            </w:r>
          </w:p>
        </w:tc>
        <w:tc>
          <w:tcPr>
            <w:tcW w:type="dxa" w:w="3600"/>
            <w:vAlign w:val="center"/>
          </w:tcPr>
          <w:p>
            <w:r/>
            <w:r>
              <w:rPr>
                <w:rFonts w:ascii="宋体" w:hAnsi="宋体" w:eastAsia="宋体"/>
                <w:sz w:val="20"/>
              </w:rPr>
              <w:t>0.39959</w:t>
            </w:r>
          </w:p>
        </w:tc>
      </w:tr>
      <w:tr>
        <w:tc>
          <w:tcPr>
            <w:tcW w:type="dxa" w:w="3600"/>
            <w:vAlign w:val="center"/>
          </w:tcPr>
          <w:p>
            <w:r/>
            <w:r>
              <w:rPr>
                <w:rFonts w:ascii="宋体" w:hAnsi="宋体" w:eastAsia="宋体"/>
                <w:sz w:val="20"/>
              </w:rPr>
              <w:t>Age</w:t>
            </w:r>
          </w:p>
        </w:tc>
        <w:tc>
          <w:tcPr>
            <w:tcW w:type="dxa" w:w="3600"/>
            <w:vAlign w:val="center"/>
          </w:tcPr>
          <w:p>
            <w:r/>
            <w:r>
              <w:rPr>
                <w:rFonts w:ascii="宋体" w:hAnsi="宋体" w:eastAsia="宋体"/>
                <w:sz w:val="20"/>
              </w:rPr>
              <w:t>0.33351</w:t>
            </w:r>
          </w:p>
        </w:tc>
      </w:tr>
      <w:tr>
        <w:tc>
          <w:tcPr>
            <w:tcW w:type="dxa" w:w="3600"/>
            <w:vAlign w:val="center"/>
          </w:tcPr>
          <w:p>
            <w:r/>
            <w:r>
              <w:rPr>
                <w:rFonts w:ascii="宋体" w:hAnsi="宋体" w:eastAsia="宋体"/>
                <w:sz w:val="20"/>
              </w:rPr>
              <w:t>Occupation</w:t>
            </w:r>
          </w:p>
        </w:tc>
        <w:tc>
          <w:tcPr>
            <w:tcW w:type="dxa" w:w="3600"/>
            <w:vAlign w:val="center"/>
          </w:tcPr>
          <w:p>
            <w:r/>
            <w:r>
              <w:rPr>
                <w:rFonts w:ascii="宋体" w:hAnsi="宋体" w:eastAsia="宋体"/>
                <w:sz w:val="20"/>
              </w:rPr>
              <w:t>0.28266</w:t>
            </w:r>
          </w:p>
        </w:tc>
      </w:tr>
      <w:tr>
        <w:tc>
          <w:tcPr>
            <w:tcW w:type="dxa" w:w="3600"/>
            <w:vAlign w:val="center"/>
          </w:tcPr>
          <w:p>
            <w:r/>
            <w:r>
              <w:rPr>
                <w:rFonts w:ascii="宋体" w:hAnsi="宋体" w:eastAsia="宋体"/>
                <w:sz w:val="20"/>
              </w:rPr>
              <w:t>Density</w:t>
            </w:r>
          </w:p>
        </w:tc>
        <w:tc>
          <w:tcPr>
            <w:tcW w:type="dxa" w:w="3600"/>
            <w:vAlign w:val="center"/>
          </w:tcPr>
          <w:p>
            <w:r/>
            <w:r>
              <w:rPr>
                <w:rFonts w:ascii="宋体" w:hAnsi="宋体" w:eastAsia="宋体"/>
                <w:sz w:val="20"/>
              </w:rPr>
              <w:t>0.25942</w:t>
            </w:r>
          </w:p>
        </w:tc>
      </w:tr>
      <w:tr>
        <w:tc>
          <w:tcPr>
            <w:tcW w:type="dxa" w:w="3600"/>
            <w:vAlign w:val="center"/>
          </w:tcPr>
          <w:p>
            <w:r/>
            <w:r>
              <w:rPr>
                <w:rFonts w:ascii="宋体" w:hAnsi="宋体" w:eastAsia="宋体"/>
                <w:sz w:val="20"/>
              </w:rPr>
              <w:t>SubGroup2</w:t>
            </w:r>
          </w:p>
        </w:tc>
        <w:tc>
          <w:tcPr>
            <w:tcW w:type="dxa" w:w="3600"/>
            <w:vAlign w:val="center"/>
          </w:tcPr>
          <w:p>
            <w:r/>
            <w:r>
              <w:rPr>
                <w:rFonts w:ascii="宋体" w:hAnsi="宋体" w:eastAsia="宋体"/>
                <w:sz w:val="20"/>
              </w:rPr>
              <w:t>0.17696</w:t>
            </w:r>
          </w:p>
        </w:tc>
      </w:tr>
      <w:tr>
        <w:tc>
          <w:tcPr>
            <w:tcW w:type="dxa" w:w="3600"/>
            <w:vAlign w:val="center"/>
          </w:tcPr>
          <w:p>
            <w:r/>
            <w:r>
              <w:rPr>
                <w:rFonts w:ascii="宋体" w:hAnsi="宋体" w:eastAsia="宋体"/>
                <w:sz w:val="20"/>
              </w:rPr>
              <w:t>Type</w:t>
            </w:r>
          </w:p>
        </w:tc>
        <w:tc>
          <w:tcPr>
            <w:tcW w:type="dxa" w:w="3600"/>
            <w:vAlign w:val="center"/>
          </w:tcPr>
          <w:p>
            <w:r/>
            <w:r>
              <w:rPr>
                <w:rFonts w:ascii="宋体" w:hAnsi="宋体" w:eastAsia="宋体"/>
                <w:sz w:val="20"/>
              </w:rPr>
              <w:t>0.14181</w:t>
            </w:r>
          </w:p>
        </w:tc>
      </w:tr>
      <w:tr>
        <w:tc>
          <w:tcPr>
            <w:tcW w:type="dxa" w:w="3600"/>
            <w:vAlign w:val="center"/>
          </w:tcPr>
          <w:p>
            <w:r/>
            <w:r>
              <w:rPr>
                <w:rFonts w:ascii="宋体" w:hAnsi="宋体" w:eastAsia="宋体"/>
                <w:sz w:val="20"/>
              </w:rPr>
              <w:t>Gender</w:t>
            </w:r>
          </w:p>
        </w:tc>
        <w:tc>
          <w:tcPr>
            <w:tcW w:type="dxa" w:w="3600"/>
            <w:vAlign w:val="center"/>
          </w:tcPr>
          <w:p>
            <w:r/>
            <w:r>
              <w:rPr>
                <w:rFonts w:ascii="宋体" w:hAnsi="宋体" w:eastAsia="宋体"/>
                <w:sz w:val="20"/>
              </w:rPr>
              <w:t>0.11181</w:t>
            </w:r>
          </w:p>
        </w:tc>
      </w:tr>
      <w:tr>
        <w:tc>
          <w:tcPr>
            <w:tcW w:type="dxa" w:w="3600"/>
            <w:vAlign w:val="center"/>
          </w:tcPr>
          <w:p>
            <w:r/>
            <w:r>
              <w:rPr>
                <w:rFonts w:ascii="宋体" w:hAnsi="宋体" w:eastAsia="宋体"/>
                <w:sz w:val="20"/>
              </w:rPr>
              <w:t>Poldur</w:t>
            </w:r>
          </w:p>
        </w:tc>
        <w:tc>
          <w:tcPr>
            <w:tcW w:type="dxa" w:w="3600"/>
            <w:vAlign w:val="center"/>
          </w:tcPr>
          <w:p>
            <w:r/>
            <w:r>
              <w:rPr>
                <w:rFonts w:ascii="宋体" w:hAnsi="宋体" w:eastAsia="宋体"/>
                <w:sz w:val="20"/>
              </w:rPr>
              <w:t>0.08603</w:t>
            </w:r>
          </w:p>
        </w:tc>
      </w:tr>
      <w:tr>
        <w:tc>
          <w:tcPr>
            <w:tcW w:type="dxa" w:w="3600"/>
            <w:vAlign w:val="center"/>
          </w:tcPr>
          <w:p>
            <w:r/>
            <w:r>
              <w:rPr>
                <w:rFonts w:ascii="宋体" w:hAnsi="宋体" w:eastAsia="宋体"/>
                <w:sz w:val="20"/>
              </w:rPr>
              <w:t>Group2</w:t>
            </w:r>
          </w:p>
        </w:tc>
        <w:tc>
          <w:tcPr>
            <w:tcW w:type="dxa" w:w="3600"/>
            <w:vAlign w:val="center"/>
          </w:tcPr>
          <w:p>
            <w:r/>
            <w:r>
              <w:rPr>
                <w:rFonts w:ascii="宋体" w:hAnsi="宋体" w:eastAsia="宋体"/>
                <w:sz w:val="20"/>
              </w:rPr>
              <w:t>0.06044</w:t>
            </w:r>
          </w:p>
        </w:tc>
      </w:tr>
      <w:tr>
        <w:tc>
          <w:tcPr>
            <w:tcW w:type="dxa" w:w="3600"/>
            <w:vAlign w:val="center"/>
          </w:tcPr>
          <w:p>
            <w:r/>
            <w:r>
              <w:rPr>
                <w:rFonts w:ascii="宋体" w:hAnsi="宋体" w:eastAsia="宋体"/>
                <w:sz w:val="20"/>
              </w:rPr>
              <w:t>Value</w:t>
            </w:r>
          </w:p>
        </w:tc>
        <w:tc>
          <w:tcPr>
            <w:tcW w:type="dxa" w:w="3600"/>
            <w:vAlign w:val="center"/>
          </w:tcPr>
          <w:p>
            <w:r/>
            <w:r>
              <w:rPr>
                <w:rFonts w:ascii="宋体" w:hAnsi="宋体" w:eastAsia="宋体"/>
                <w:sz w:val="20"/>
              </w:rPr>
              <w:t>0.02277</w:t>
            </w:r>
          </w:p>
        </w:tc>
      </w:tr>
      <w:tr>
        <w:tc>
          <w:tcPr>
            <w:tcW w:type="dxa" w:w="3600"/>
            <w:vAlign w:val="center"/>
          </w:tcPr>
          <w:p>
            <w:r/>
            <w:r>
              <w:rPr>
                <w:rFonts w:ascii="宋体" w:hAnsi="宋体" w:eastAsia="宋体"/>
                <w:sz w:val="20"/>
              </w:rPr>
              <w:t>Category</w:t>
            </w:r>
          </w:p>
        </w:tc>
        <w:tc>
          <w:tcPr>
            <w:tcW w:type="dxa" w:w="3600"/>
            <w:vAlign w:val="center"/>
          </w:tcPr>
          <w:p>
            <w:r/>
            <w:r>
              <w:rPr>
                <w:rFonts w:ascii="宋体" w:hAnsi="宋体" w:eastAsia="宋体"/>
                <w:sz w:val="20"/>
              </w:rPr>
              <w:t>0.02135</w:t>
            </w:r>
          </w:p>
        </w:tc>
      </w:tr>
      <w:tr>
        <w:tc>
          <w:tcPr>
            <w:tcW w:type="dxa" w:w="3600"/>
            <w:vAlign w:val="center"/>
          </w:tcPr>
          <w:p>
            <w:r/>
            <w:r>
              <w:rPr>
                <w:rFonts w:ascii="宋体" w:hAnsi="宋体" w:eastAsia="宋体"/>
                <w:sz w:val="20"/>
              </w:rPr>
              <w:t>Adind</w:t>
            </w:r>
          </w:p>
        </w:tc>
        <w:tc>
          <w:tcPr>
            <w:tcW w:type="dxa" w:w="3600"/>
            <w:vAlign w:val="center"/>
          </w:tcPr>
          <w:p>
            <w:r/>
            <w:r>
              <w:rPr>
                <w:rFonts w:ascii="宋体" w:hAnsi="宋体" w:eastAsia="宋体"/>
                <w:sz w:val="20"/>
              </w:rPr>
              <w:t>0.00809</w:t>
            </w:r>
          </w:p>
        </w:tc>
      </w:tr>
    </w:tbl>
    <w:p>
      <w:r>
        <w:rPr>
          <w:rFonts w:ascii="宋体" w:hAnsi="宋体" w:eastAsia="宋体"/>
          <w:sz w:val="21"/>
        </w:rPr>
        <w:t>除 Age 与 Bonus 之外影响最大的两个特征是 Group1 与 Occupation：</w:t>
      </w:r>
    </w:p>
    <w:p>
      <w:r>
        <w:rPr>
          <w:rFonts w:ascii="宋体" w:hAnsi="宋体" w:eastAsia="宋体"/>
          <w:sz w:val="21"/>
        </w:rPr>
        <w:t>（1）Group1 拥有 20 个分类水平，表示保险公司基于风险分群划分的细类，对平均 |SHAP| 的贡献高达 0.40，仅次于 Bonus（0.52）和 Age（0.33），其整体方向为正向——高 Group1 水平相对于低水平将预测频率推高约 0.4 个对数单位（相对约 49%）。</w:t>
      </w:r>
    </w:p>
    <w:p>
      <w:r>
        <w:rPr>
          <w:rFonts w:ascii="宋体" w:hAnsi="宋体" w:eastAsia="宋体"/>
          <w:sz w:val="21"/>
        </w:rPr>
        <w:t>（2）Occupation 包含 5 个职业类别（Employed、Housewife、Retired、Self-employed、Unemployed），其平均 |SHAP| 约 0.28，影响幅度位列整体第四，主要体现为 Self-employed（自雇）相对 Employed显著推高频率、Retired（退休）则拉低，这与讲座中置换重要性观察到的Self-employed 风险偏高、Retired 偏低相吻合。</w:t>
      </w:r>
    </w:p>
    <w:p>
      <w:pPr>
        <w:jc w:val="center"/>
      </w:pPr>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q2a_shap_importance.png"/>
                    <pic:cNvPicPr/>
                  </pic:nvPicPr>
                  <pic:blipFill>
                    <a:blip r:embed="rId10"/>
                    <a:stretch>
                      <a:fillRect/>
                    </a:stretch>
                  </pic:blipFill>
                  <pic:spPr>
                    <a:xfrm>
                      <a:off x="0" y="0"/>
                      <a:ext cx="5486400" cy="4114800"/>
                    </a:xfrm>
                    <a:prstGeom prst="rect"/>
                  </pic:spPr>
                </pic:pic>
              </a:graphicData>
            </a:graphic>
          </wp:inline>
        </w:drawing>
      </w:r>
    </w:p>
    <w:p>
      <w:r>
        <w:rPr>
          <w:rFonts w:ascii="宋体" w:hAnsi="宋体" w:eastAsia="宋体"/>
          <w:sz w:val="21"/>
        </w:rPr>
        <w:t>图 2：分组 SHAP 重要性条形图。Group1 与 Occupation 占据第三、第四位，且与 Age/Bonus 之外的变量拉开明显差距，是除年龄与 Bonus 之外影响最大的两个定价变量。</w:t>
      </w:r>
    </w:p>
    <w:p>
      <w:r>
        <w:rPr>
          <w:rFonts w:ascii="黑体" w:hAnsi="黑体" w:eastAsia="黑体"/>
          <w:b/>
          <w:sz w:val="26"/>
        </w:rPr>
        <w:t>2b 局部 SHAP 瀑布图</w:t>
      </w:r>
    </w:p>
    <w:p>
      <w:r>
        <w:rPr>
          <w:rFonts w:ascii="宋体" w:hAnsi="宋体" w:eastAsia="宋体"/>
          <w:sz w:val="21"/>
        </w:rPr>
        <w:t>从测试集中选择预测年化频率接近第 90 分位（0.3772）的保单，其特征为：Age=28、Bonus=10、Density=296.4、Exposure=1.0，已避开讲座示例的 Age=51 / Bonus=110 组合。</w:t>
      </w:r>
    </w:p>
    <w:p>
      <w:r>
        <w:rPr>
          <w:rFonts w:ascii="宋体" w:hAnsi="宋体" w:eastAsia="宋体"/>
          <w:sz w:val="21"/>
        </w:rPr>
        <w:t>在 XGBoost 内部对数边际尺度上：基准值 E[f(X)] = -1.8255（≈log(0.161)，对应整个业务组合的典型年化频率约 0.16），该保单的最终边际 f(x) = -0.9580，exp(f(x)) = 0.384，对应模型直接预测的年化频率 0.377。</w:t>
      </w:r>
    </w:p>
    <w:tbl>
      <w:tblPr>
        <w:tblStyle w:val="LightGrid-Accent1"/>
        <w:tblW w:type="auto" w:w="0"/>
        <w:tblLook w:firstColumn="1" w:firstRow="1" w:lastColumn="0" w:lastRow="0" w:noHBand="0" w:noVBand="1" w:val="04A0"/>
      </w:tblPr>
      <w:tblGrid>
        <w:gridCol w:w="2880"/>
        <w:gridCol w:w="2880"/>
        <w:gridCol w:w="2880"/>
      </w:tblGrid>
      <w:tr>
        <w:tc>
          <w:tcPr>
            <w:tcW w:type="dxa" w:w="2880"/>
            <w:vAlign w:val="center"/>
          </w:tcPr>
          <w:p>
            <w:r/>
            <w:r>
              <w:rPr>
                <w:rFonts w:ascii="黑体" w:hAnsi="黑体" w:eastAsia="黑体"/>
                <w:b/>
                <w:sz w:val="21"/>
              </w:rPr>
              <w:t>定价变量</w:t>
            </w:r>
          </w:p>
        </w:tc>
        <w:tc>
          <w:tcPr>
            <w:tcW w:type="dxa" w:w="2592"/>
            <w:vAlign w:val="center"/>
          </w:tcPr>
          <w:p>
            <w:r/>
            <w:r>
              <w:rPr>
                <w:rFonts w:ascii="黑体" w:hAnsi="黑体" w:eastAsia="黑体"/>
                <w:b/>
                <w:sz w:val="21"/>
              </w:rPr>
              <w:t>对数边际贡献</w:t>
            </w:r>
          </w:p>
        </w:tc>
        <w:tc>
          <w:tcPr>
            <w:tcW w:type="dxa" w:w="2880"/>
            <w:vAlign w:val="center"/>
          </w:tcPr>
          <w:p>
            <w:r/>
            <w:r>
              <w:rPr>
                <w:rFonts w:ascii="黑体" w:hAnsi="黑体" w:eastAsia="黑体"/>
                <w:b/>
                <w:sz w:val="21"/>
              </w:rPr>
              <w:t>方向</w:t>
            </w:r>
          </w:p>
        </w:tc>
      </w:tr>
      <w:tr>
        <w:tc>
          <w:tcPr>
            <w:tcW w:type="dxa" w:w="2880"/>
            <w:vAlign w:val="center"/>
          </w:tcPr>
          <w:p>
            <w:r/>
            <w:r>
              <w:rPr>
                <w:rFonts w:ascii="宋体" w:hAnsi="宋体" w:eastAsia="宋体"/>
                <w:sz w:val="20"/>
              </w:rPr>
              <w:t>Density</w:t>
            </w:r>
          </w:p>
        </w:tc>
        <w:tc>
          <w:tcPr>
            <w:tcW w:type="dxa" w:w="2592"/>
            <w:vAlign w:val="center"/>
          </w:tcPr>
          <w:p>
            <w:r/>
            <w:r>
              <w:rPr>
                <w:rFonts w:ascii="宋体" w:hAnsi="宋体" w:eastAsia="宋体"/>
                <w:sz w:val="20"/>
              </w:rPr>
              <w:t>+0.5070</w:t>
            </w:r>
          </w:p>
        </w:tc>
        <w:tc>
          <w:tcPr>
            <w:tcW w:type="dxa" w:w="2880"/>
            <w:vAlign w:val="center"/>
          </w:tcPr>
          <w:p>
            <w:r/>
            <w:r>
              <w:rPr>
                <w:rFonts w:ascii="宋体" w:hAnsi="宋体" w:eastAsia="宋体"/>
                <w:sz w:val="20"/>
              </w:rPr>
              <w:t>↑ 推高频率</w:t>
            </w:r>
          </w:p>
        </w:tc>
      </w:tr>
      <w:tr>
        <w:tc>
          <w:tcPr>
            <w:tcW w:type="dxa" w:w="2880"/>
            <w:vAlign w:val="center"/>
          </w:tcPr>
          <w:p>
            <w:r/>
            <w:r>
              <w:rPr>
                <w:rFonts w:ascii="宋体" w:hAnsi="宋体" w:eastAsia="宋体"/>
                <w:sz w:val="20"/>
              </w:rPr>
              <w:t>Age</w:t>
            </w:r>
          </w:p>
        </w:tc>
        <w:tc>
          <w:tcPr>
            <w:tcW w:type="dxa" w:w="2592"/>
            <w:vAlign w:val="center"/>
          </w:tcPr>
          <w:p>
            <w:r/>
            <w:r>
              <w:rPr>
                <w:rFonts w:ascii="宋体" w:hAnsi="宋体" w:eastAsia="宋体"/>
                <w:sz w:val="20"/>
              </w:rPr>
              <w:t>+0.2528</w:t>
            </w:r>
          </w:p>
        </w:tc>
        <w:tc>
          <w:tcPr>
            <w:tcW w:type="dxa" w:w="2880"/>
            <w:vAlign w:val="center"/>
          </w:tcPr>
          <w:p>
            <w:r/>
            <w:r>
              <w:rPr>
                <w:rFonts w:ascii="宋体" w:hAnsi="宋体" w:eastAsia="宋体"/>
                <w:sz w:val="20"/>
              </w:rPr>
              <w:t>↑ 推高频率</w:t>
            </w:r>
          </w:p>
        </w:tc>
      </w:tr>
      <w:tr>
        <w:tc>
          <w:tcPr>
            <w:tcW w:type="dxa" w:w="2880"/>
            <w:vAlign w:val="center"/>
          </w:tcPr>
          <w:p>
            <w:r/>
            <w:r>
              <w:rPr>
                <w:rFonts w:ascii="宋体" w:hAnsi="宋体" w:eastAsia="宋体"/>
                <w:sz w:val="20"/>
              </w:rPr>
              <w:t>Bonus</w:t>
            </w:r>
          </w:p>
        </w:tc>
        <w:tc>
          <w:tcPr>
            <w:tcW w:type="dxa" w:w="2592"/>
            <w:vAlign w:val="center"/>
          </w:tcPr>
          <w:p>
            <w:r/>
            <w:r>
              <w:rPr>
                <w:rFonts w:ascii="宋体" w:hAnsi="宋体" w:eastAsia="宋体"/>
                <w:sz w:val="20"/>
              </w:rPr>
              <w:t>+0.1540</w:t>
            </w:r>
          </w:p>
        </w:tc>
        <w:tc>
          <w:tcPr>
            <w:tcW w:type="dxa" w:w="2880"/>
            <w:vAlign w:val="center"/>
          </w:tcPr>
          <w:p>
            <w:r/>
            <w:r>
              <w:rPr>
                <w:rFonts w:ascii="宋体" w:hAnsi="宋体" w:eastAsia="宋体"/>
                <w:sz w:val="20"/>
              </w:rPr>
              <w:t>↑ 推高频率</w:t>
            </w:r>
          </w:p>
        </w:tc>
      </w:tr>
      <w:tr>
        <w:tc>
          <w:tcPr>
            <w:tcW w:type="dxa" w:w="2880"/>
            <w:vAlign w:val="center"/>
          </w:tcPr>
          <w:p>
            <w:r/>
            <w:r>
              <w:rPr>
                <w:rFonts w:ascii="宋体" w:hAnsi="宋体" w:eastAsia="宋体"/>
                <w:sz w:val="20"/>
              </w:rPr>
              <w:t>Type</w:t>
            </w:r>
          </w:p>
        </w:tc>
        <w:tc>
          <w:tcPr>
            <w:tcW w:type="dxa" w:w="2592"/>
            <w:vAlign w:val="center"/>
          </w:tcPr>
          <w:p>
            <w:r/>
            <w:r>
              <w:rPr>
                <w:rFonts w:ascii="宋体" w:hAnsi="宋体" w:eastAsia="宋体"/>
                <w:sz w:val="20"/>
              </w:rPr>
              <w:t>-0.1379</w:t>
            </w:r>
          </w:p>
        </w:tc>
        <w:tc>
          <w:tcPr>
            <w:tcW w:type="dxa" w:w="2880"/>
            <w:vAlign w:val="center"/>
          </w:tcPr>
          <w:p>
            <w:r/>
            <w:r>
              <w:rPr>
                <w:rFonts w:ascii="宋体" w:hAnsi="宋体" w:eastAsia="宋体"/>
                <w:sz w:val="20"/>
              </w:rPr>
              <w:t>↓ 拉低频率</w:t>
            </w:r>
          </w:p>
        </w:tc>
      </w:tr>
      <w:tr>
        <w:tc>
          <w:tcPr>
            <w:tcW w:type="dxa" w:w="2880"/>
            <w:vAlign w:val="center"/>
          </w:tcPr>
          <w:p>
            <w:r/>
            <w:r>
              <w:rPr>
                <w:rFonts w:ascii="宋体" w:hAnsi="宋体" w:eastAsia="宋体"/>
                <w:sz w:val="20"/>
              </w:rPr>
              <w:t>Gender</w:t>
            </w:r>
          </w:p>
        </w:tc>
        <w:tc>
          <w:tcPr>
            <w:tcW w:type="dxa" w:w="2592"/>
            <w:vAlign w:val="center"/>
          </w:tcPr>
          <w:p>
            <w:r/>
            <w:r>
              <w:rPr>
                <w:rFonts w:ascii="宋体" w:hAnsi="宋体" w:eastAsia="宋体"/>
                <w:sz w:val="20"/>
              </w:rPr>
              <w:t>+0.1361</w:t>
            </w:r>
          </w:p>
        </w:tc>
        <w:tc>
          <w:tcPr>
            <w:tcW w:type="dxa" w:w="2880"/>
            <w:vAlign w:val="center"/>
          </w:tcPr>
          <w:p>
            <w:r/>
            <w:r>
              <w:rPr>
                <w:rFonts w:ascii="宋体" w:hAnsi="宋体" w:eastAsia="宋体"/>
                <w:sz w:val="20"/>
              </w:rPr>
              <w:t>↑ 推高频率</w:t>
            </w:r>
          </w:p>
        </w:tc>
      </w:tr>
      <w:tr>
        <w:tc>
          <w:tcPr>
            <w:tcW w:type="dxa" w:w="2880"/>
            <w:vAlign w:val="center"/>
          </w:tcPr>
          <w:p>
            <w:r/>
            <w:r>
              <w:rPr>
                <w:rFonts w:ascii="宋体" w:hAnsi="宋体" w:eastAsia="宋体"/>
                <w:sz w:val="20"/>
              </w:rPr>
              <w:t>Poldur</w:t>
            </w:r>
          </w:p>
        </w:tc>
        <w:tc>
          <w:tcPr>
            <w:tcW w:type="dxa" w:w="2592"/>
            <w:vAlign w:val="center"/>
          </w:tcPr>
          <w:p>
            <w:r/>
            <w:r>
              <w:rPr>
                <w:rFonts w:ascii="宋体" w:hAnsi="宋体" w:eastAsia="宋体"/>
                <w:sz w:val="20"/>
              </w:rPr>
              <w:t>+0.1174</w:t>
            </w:r>
          </w:p>
        </w:tc>
        <w:tc>
          <w:tcPr>
            <w:tcW w:type="dxa" w:w="2880"/>
            <w:vAlign w:val="center"/>
          </w:tcPr>
          <w:p>
            <w:r/>
            <w:r>
              <w:rPr>
                <w:rFonts w:ascii="宋体" w:hAnsi="宋体" w:eastAsia="宋体"/>
                <w:sz w:val="20"/>
              </w:rPr>
              <w:t>↑ 推高频率</w:t>
            </w:r>
          </w:p>
        </w:tc>
      </w:tr>
      <w:tr>
        <w:tc>
          <w:tcPr>
            <w:tcW w:type="dxa" w:w="2880"/>
            <w:vAlign w:val="center"/>
          </w:tcPr>
          <w:p>
            <w:r/>
            <w:r>
              <w:rPr>
                <w:rFonts w:ascii="宋体" w:hAnsi="宋体" w:eastAsia="宋体"/>
                <w:sz w:val="20"/>
              </w:rPr>
              <w:t>SubGroup2</w:t>
            </w:r>
          </w:p>
        </w:tc>
        <w:tc>
          <w:tcPr>
            <w:tcW w:type="dxa" w:w="2592"/>
            <w:vAlign w:val="center"/>
          </w:tcPr>
          <w:p>
            <w:r/>
            <w:r>
              <w:rPr>
                <w:rFonts w:ascii="宋体" w:hAnsi="宋体" w:eastAsia="宋体"/>
                <w:sz w:val="20"/>
              </w:rPr>
              <w:t>-0.1073</w:t>
            </w:r>
          </w:p>
        </w:tc>
        <w:tc>
          <w:tcPr>
            <w:tcW w:type="dxa" w:w="2880"/>
            <w:vAlign w:val="center"/>
          </w:tcPr>
          <w:p>
            <w:r/>
            <w:r>
              <w:rPr>
                <w:rFonts w:ascii="宋体" w:hAnsi="宋体" w:eastAsia="宋体"/>
                <w:sz w:val="20"/>
              </w:rPr>
              <w:t>↓ 拉低频率</w:t>
            </w:r>
          </w:p>
        </w:tc>
      </w:tr>
      <w:tr>
        <w:tc>
          <w:tcPr>
            <w:tcW w:type="dxa" w:w="2880"/>
            <w:vAlign w:val="center"/>
          </w:tcPr>
          <w:p>
            <w:r/>
            <w:r>
              <w:rPr>
                <w:rFonts w:ascii="宋体" w:hAnsi="宋体" w:eastAsia="宋体"/>
                <w:sz w:val="20"/>
              </w:rPr>
              <w:t>Group2</w:t>
            </w:r>
          </w:p>
        </w:tc>
        <w:tc>
          <w:tcPr>
            <w:tcW w:type="dxa" w:w="2592"/>
            <w:vAlign w:val="center"/>
          </w:tcPr>
          <w:p>
            <w:r/>
            <w:r>
              <w:rPr>
                <w:rFonts w:ascii="宋体" w:hAnsi="宋体" w:eastAsia="宋体"/>
                <w:sz w:val="20"/>
              </w:rPr>
              <w:t>-0.0247</w:t>
            </w:r>
          </w:p>
        </w:tc>
        <w:tc>
          <w:tcPr>
            <w:tcW w:type="dxa" w:w="2880"/>
            <w:vAlign w:val="center"/>
          </w:tcPr>
          <w:p>
            <w:r/>
            <w:r>
              <w:rPr>
                <w:rFonts w:ascii="宋体" w:hAnsi="宋体" w:eastAsia="宋体"/>
                <w:sz w:val="20"/>
              </w:rPr>
              <w:t>↓ 拉低频率</w:t>
            </w:r>
          </w:p>
        </w:tc>
      </w:tr>
      <w:tr>
        <w:tc>
          <w:tcPr>
            <w:tcW w:type="dxa" w:w="2880"/>
            <w:vAlign w:val="center"/>
          </w:tcPr>
          <w:p>
            <w:r/>
            <w:r>
              <w:rPr>
                <w:rFonts w:ascii="宋体" w:hAnsi="宋体" w:eastAsia="宋体"/>
                <w:sz w:val="20"/>
              </w:rPr>
              <w:t>Group1</w:t>
            </w:r>
          </w:p>
        </w:tc>
        <w:tc>
          <w:tcPr>
            <w:tcW w:type="dxa" w:w="2592"/>
            <w:vAlign w:val="center"/>
          </w:tcPr>
          <w:p>
            <w:r/>
            <w:r>
              <w:rPr>
                <w:rFonts w:ascii="宋体" w:hAnsi="宋体" w:eastAsia="宋体"/>
                <w:sz w:val="20"/>
              </w:rPr>
              <w:t>-0.0138</w:t>
            </w:r>
          </w:p>
        </w:tc>
        <w:tc>
          <w:tcPr>
            <w:tcW w:type="dxa" w:w="2880"/>
            <w:vAlign w:val="center"/>
          </w:tcPr>
          <w:p>
            <w:r/>
            <w:r>
              <w:rPr>
                <w:rFonts w:ascii="宋体" w:hAnsi="宋体" w:eastAsia="宋体"/>
                <w:sz w:val="20"/>
              </w:rPr>
              <w:t>↓ 拉低频率</w:t>
            </w:r>
          </w:p>
        </w:tc>
      </w:tr>
      <w:tr>
        <w:tc>
          <w:tcPr>
            <w:tcW w:type="dxa" w:w="2880"/>
            <w:vAlign w:val="center"/>
          </w:tcPr>
          <w:p>
            <w:r/>
            <w:r>
              <w:rPr>
                <w:rFonts w:ascii="宋体" w:hAnsi="宋体" w:eastAsia="宋体"/>
                <w:sz w:val="20"/>
              </w:rPr>
              <w:t>Occupation</w:t>
            </w:r>
          </w:p>
        </w:tc>
        <w:tc>
          <w:tcPr>
            <w:tcW w:type="dxa" w:w="2592"/>
            <w:vAlign w:val="center"/>
          </w:tcPr>
          <w:p>
            <w:r/>
            <w:r>
              <w:rPr>
                <w:rFonts w:ascii="宋体" w:hAnsi="宋体" w:eastAsia="宋体"/>
                <w:sz w:val="20"/>
              </w:rPr>
              <w:t>-0.0127</w:t>
            </w:r>
          </w:p>
        </w:tc>
        <w:tc>
          <w:tcPr>
            <w:tcW w:type="dxa" w:w="2880"/>
            <w:vAlign w:val="center"/>
          </w:tcPr>
          <w:p>
            <w:r/>
            <w:r>
              <w:rPr>
                <w:rFonts w:ascii="宋体" w:hAnsi="宋体" w:eastAsia="宋体"/>
                <w:sz w:val="20"/>
              </w:rPr>
              <w:t>↓ 拉低频率</w:t>
            </w:r>
          </w:p>
        </w:tc>
      </w:tr>
      <w:tr>
        <w:tc>
          <w:tcPr>
            <w:tcW w:type="dxa" w:w="2880"/>
            <w:vAlign w:val="center"/>
          </w:tcPr>
          <w:p>
            <w:r/>
            <w:r>
              <w:rPr>
                <w:rFonts w:ascii="宋体" w:hAnsi="宋体" w:eastAsia="宋体"/>
                <w:sz w:val="20"/>
              </w:rPr>
              <w:t>Category</w:t>
            </w:r>
          </w:p>
        </w:tc>
        <w:tc>
          <w:tcPr>
            <w:tcW w:type="dxa" w:w="2592"/>
            <w:vAlign w:val="center"/>
          </w:tcPr>
          <w:p>
            <w:r/>
            <w:r>
              <w:rPr>
                <w:rFonts w:ascii="宋体" w:hAnsi="宋体" w:eastAsia="宋体"/>
                <w:sz w:val="20"/>
              </w:rPr>
              <w:t>+0.0082</w:t>
            </w:r>
          </w:p>
        </w:tc>
        <w:tc>
          <w:tcPr>
            <w:tcW w:type="dxa" w:w="2880"/>
            <w:vAlign w:val="center"/>
          </w:tcPr>
          <w:p>
            <w:r/>
            <w:r>
              <w:rPr>
                <w:rFonts w:ascii="宋体" w:hAnsi="宋体" w:eastAsia="宋体"/>
                <w:sz w:val="20"/>
              </w:rPr>
              <w:t>↑ 推高频率</w:t>
            </w:r>
          </w:p>
        </w:tc>
      </w:tr>
      <w:tr>
        <w:tc>
          <w:tcPr>
            <w:tcW w:type="dxa" w:w="2880"/>
            <w:vAlign w:val="center"/>
          </w:tcPr>
          <w:p>
            <w:r/>
            <w:r>
              <w:rPr>
                <w:rFonts w:ascii="宋体" w:hAnsi="宋体" w:eastAsia="宋体"/>
                <w:sz w:val="20"/>
              </w:rPr>
              <w:t>Value</w:t>
            </w:r>
          </w:p>
        </w:tc>
        <w:tc>
          <w:tcPr>
            <w:tcW w:type="dxa" w:w="2592"/>
            <w:vAlign w:val="center"/>
          </w:tcPr>
          <w:p>
            <w:r/>
            <w:r>
              <w:rPr>
                <w:rFonts w:ascii="宋体" w:hAnsi="宋体" w:eastAsia="宋体"/>
                <w:sz w:val="20"/>
              </w:rPr>
              <w:t>-0.0079</w:t>
            </w:r>
          </w:p>
        </w:tc>
        <w:tc>
          <w:tcPr>
            <w:tcW w:type="dxa" w:w="2880"/>
            <w:vAlign w:val="center"/>
          </w:tcPr>
          <w:p>
            <w:r/>
            <w:r>
              <w:rPr>
                <w:rFonts w:ascii="宋体" w:hAnsi="宋体" w:eastAsia="宋体"/>
                <w:sz w:val="20"/>
              </w:rPr>
              <w:t>↓ 拉低频率</w:t>
            </w:r>
          </w:p>
        </w:tc>
      </w:tr>
      <w:tr>
        <w:tc>
          <w:tcPr>
            <w:tcW w:type="dxa" w:w="2880"/>
            <w:vAlign w:val="center"/>
          </w:tcPr>
          <w:p>
            <w:r/>
            <w:r>
              <w:rPr>
                <w:rFonts w:ascii="宋体" w:hAnsi="宋体" w:eastAsia="宋体"/>
                <w:sz w:val="20"/>
              </w:rPr>
              <w:t>Adind</w:t>
            </w:r>
          </w:p>
        </w:tc>
        <w:tc>
          <w:tcPr>
            <w:tcW w:type="dxa" w:w="2592"/>
            <w:vAlign w:val="center"/>
          </w:tcPr>
          <w:p>
            <w:r/>
            <w:r>
              <w:rPr>
                <w:rFonts w:ascii="宋体" w:hAnsi="宋体" w:eastAsia="宋体"/>
                <w:sz w:val="20"/>
              </w:rPr>
              <w:t>-0.0037</w:t>
            </w:r>
          </w:p>
        </w:tc>
        <w:tc>
          <w:tcPr>
            <w:tcW w:type="dxa" w:w="2880"/>
            <w:vAlign w:val="center"/>
          </w:tcPr>
          <w:p>
            <w:r/>
            <w:r>
              <w:rPr>
                <w:rFonts w:ascii="宋体" w:hAnsi="宋体" w:eastAsia="宋体"/>
                <w:sz w:val="20"/>
              </w:rPr>
              <w:t>↓ 拉低频率</w:t>
            </w:r>
          </w:p>
        </w:tc>
      </w:tr>
    </w:tbl>
    <w:p>
      <w:r>
        <w:rPr>
          <w:rFonts w:ascii="宋体" w:hAnsi="宋体" w:eastAsia="宋体"/>
          <w:sz w:val="21"/>
        </w:rPr>
        <w:t>各变量贡献从大到小依次为：Density +0.51（最大正向贡献，296.4 居民/km² 属于极高密度区间）、Age +0.25（28 岁属于年轻驾驶员段，频率偏高）、Bonus +0.15（+10 表示有少量 past-claim 经验，对频率有轻微正向推力）、Gender +0.14（Male 相对 Female 略推高）、Poldur +0.12（保单期 13 年较长，反映出老客户相对稳定但与本保单其它高风险特征叠加）。主要的负向贡献来自 Type -0.14（其 Type 类别相对常见类型有较低频率）和 SubGroup2 -0.11（其细分组相对其他亚组风险略低）。</w:t>
      </w:r>
    </w:p>
    <w:p>
      <w:pPr>
        <w:jc w:val="center"/>
      </w:pPr>
      <w:r>
        <w:drawing>
          <wp:inline xmlns:a="http://schemas.openxmlformats.org/drawingml/2006/main" xmlns:pic="http://schemas.openxmlformats.org/drawingml/2006/picture">
            <wp:extent cx="5486400" cy="5069626"/>
            <wp:docPr id="3" name="Picture 3"/>
            <wp:cNvGraphicFramePr>
              <a:graphicFrameLocks noChangeAspect="1"/>
            </wp:cNvGraphicFramePr>
            <a:graphic>
              <a:graphicData uri="http://schemas.openxmlformats.org/drawingml/2006/picture">
                <pic:pic>
                  <pic:nvPicPr>
                    <pic:cNvPr id="0" name="q2b_shap_waterfall.png"/>
                    <pic:cNvPicPr/>
                  </pic:nvPicPr>
                  <pic:blipFill>
                    <a:blip r:embed="rId11"/>
                    <a:stretch>
                      <a:fillRect/>
                    </a:stretch>
                  </pic:blipFill>
                  <pic:spPr>
                    <a:xfrm>
                      <a:off x="0" y="0"/>
                      <a:ext cx="5486400" cy="5069626"/>
                    </a:xfrm>
                    <a:prstGeom prst="rect"/>
                  </pic:spPr>
                </pic:pic>
              </a:graphicData>
            </a:graphic>
          </wp:inline>
        </w:drawing>
      </w:r>
    </w:p>
    <w:p>
      <w:r>
        <w:rPr>
          <w:rFonts w:ascii="宋体" w:hAnsi="宋体" w:eastAsia="宋体"/>
          <w:sz w:val="21"/>
        </w:rPr>
        <w:t>图 3：该保单的局部 SHAP 瀑布图（对数边际尺度）。从基准 E[f(X)] = -1.83 出发，逐步累加各定价变量的贡献，得到最终边际 f(x) = -0.96，对应年化预测频率 0.38。</w:t>
      </w:r>
    </w:p>
    <w:p>
      <w:r>
        <w:rPr>
          <w:rFonts w:ascii="黑体" w:hAnsi="黑体" w:eastAsia="黑体"/>
          <w:b/>
          <w:sz w:val="26"/>
        </w:rPr>
        <w:t>2c 面向客户的解释</w:t>
      </w:r>
    </w:p>
    <w:p>
      <w:r>
        <w:rPr>
          <w:rFonts w:ascii="宋体" w:hAnsi="宋体" w:eastAsia="宋体"/>
          <w:sz w:val="21"/>
        </w:rPr>
        <w:t>以下措辞假定向一位非技术保单持有人解释为何这份保单被评估为高风险：</w:t>
      </w:r>
    </w:p>
    <w:p>
      <w:pPr>
        <w:ind w:left="432"/>
      </w:pPr>
      <w:r>
        <w:rPr>
          <w:rFonts w:ascii="宋体" w:hAnsi="宋体" w:eastAsia="宋体"/>
          <w:sz w:val="21"/>
        </w:rPr>
        <w:t>「您的这份保单被我们系统判定为风险水平高于平均。主要原因有三条：第一，您居住的地区人口密度很高（约为每平方公里 296 人），在类似的繁忙地区，我们观察到的索赔频率大约是安静地区的 2-3 倍；第二，您今年 28 岁，属于年轻驾驶员群体，统计上该年龄段出险的概率比中年驾驶员高约 40-50%；第三，您过往有过一次责任理赔记录（bonus-malus 系数为 +10），这虽然只是一个轻度信号，但也会让基础风险略向上调整。综合这几点，我们模型给出的您今年的预期索赔率大约是 38%——也就是说，如果同一地区、相似年龄与驾驶历史的 100 份保单投保，我们预期其中会有 38 份在本年发生至少一次第三方责任索赔。」</w:t>
      </w:r>
    </w:p>
    <w:p>
      <w:r>
        <w:rPr>
          <w:rFonts w:ascii="宋体" w:hAnsi="宋体" w:eastAsia="宋体"/>
          <w:sz w:val="21"/>
        </w:rPr>
        <w:t>此回答刻意避开了「SHAP 值」「边际贡献」「对数尺度」等术语，并将 exp(f(x)) = 0.384 解读为「100 份类似保单中约 38 份发生至少一次索赔」，从而用概率语言让一位非精算背景的保单持有人能直接理解其定价。</w:t>
      </w:r>
    </w:p>
    <w:p>
      <w:pPr>
        <w:jc w:val="left"/>
      </w:pPr>
      <w:r>
        <w:rPr>
          <w:rFonts w:ascii="黑体" w:hAnsi="黑体" w:eastAsia="黑体"/>
          <w:b/>
          <w:sz w:val="32"/>
        </w:rPr>
        <w:t>问题 3 — 批判性评估这一工具箱</w:t>
      </w:r>
    </w:p>
    <w:p>
      <w:r>
        <w:rPr>
          <w:rFonts w:ascii="宋体" w:hAnsi="宋体" w:eastAsia="宋体"/>
          <w:b/>
          <w:sz w:val="21"/>
        </w:rPr>
        <w:t>承保与定价受到「解释权」要求（第 1 章）和「模型治理」要求（第 4 章）双重约束；任何单一方法都无法同时承担全局重要性、主效应形状、单次决策归因与因果追问四类任务。下面对 PFI、PDP、ALE、SHAP 四种方法各给出一项真正的优势与一项真正的局限，并基于作业 1-2 的实证与讲座给出综合分析。</w:t>
      </w:r>
    </w:p>
    <w:p>
      <w:r>
        <w:rPr>
          <w:rFonts w:ascii="黑体" w:hAnsi="黑体" w:eastAsia="黑体"/>
          <w:b/>
          <w:sz w:val="26"/>
        </w:rPr>
        <w:t>3a 四种方法的优劣</w:t>
      </w:r>
    </w:p>
    <w:p>
      <w:r>
        <w:rPr>
          <w:rFonts w:ascii="宋体" w:hAnsi="宋体" w:eastAsia="宋体"/>
          <w:sz w:val="21"/>
        </w:rPr>
        <w:t>置换特征重要性（PFI）：</w:t>
      </w:r>
    </w:p>
    <w:p>
      <w:r>
        <w:rPr>
          <w:rFonts w:ascii="宋体" w:hAnsi="宋体" w:eastAsia="宋体"/>
          <w:sz w:val="21"/>
        </w:rPr>
        <w:t>优势：模型无关。讲座与作业均复现一致的排序——Bonus 0.103、Age 0.056、Density 0.032、Group1 0.024、Occupation 0.015（5 次重复 std 均小于均值 20%）。这一稳定性是 PFI 最大的实证优势：它直接量化「打乱该变量后模型性能下降多少」，对任何模型类（XGBoost、GLM、神经网络）都适用，且可由 scikit-learn 等通用库直接计算，便于模型验证人在不同模型类之间比较。</w:t>
      </w:r>
    </w:p>
    <w:p>
      <w:r>
        <w:rPr>
          <w:rFonts w:ascii="宋体" w:hAnsi="宋体" w:eastAsia="宋体"/>
          <w:sz w:val="21"/>
        </w:rPr>
        <w:t>局限：忽略特征相关性。SubGroup2 拥有 471 个分类水平，其独热编码特征数量远多于其他变量，但在 PFI 中仅排第 6（0.011），明显低于其 SHAP 平均贡献（0.18）。原因是打乱某个 SubGroup2 水平后，相邻的 Group1 水平仍可提供近似信息，使 PFI 严重低估高基数变量的真实贡献。此外，PFI 不告知方向（拉高还是拉低）与形状（线性还是非线性），对监管沟通而言只能回答「重要与否」，无法回答「如何重要」。</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q3_permutation_importance.png"/>
                    <pic:cNvPicPr/>
                  </pic:nvPicPr>
                  <pic:blipFill>
                    <a:blip r:embed="rId12"/>
                    <a:stretch>
                      <a:fillRect/>
                    </a:stretch>
                  </pic:blipFill>
                  <pic:spPr>
                    <a:xfrm>
                      <a:off x="0" y="0"/>
                      <a:ext cx="5486400" cy="3429000"/>
                    </a:xfrm>
                    <a:prstGeom prst="rect"/>
                  </pic:spPr>
                </pic:pic>
              </a:graphicData>
            </a:graphic>
          </wp:inline>
        </w:drawing>
      </w:r>
    </w:p>
    <w:p>
      <w:r>
        <w:rPr>
          <w:rFonts w:ascii="宋体" w:hAnsi="宋体" w:eastAsia="宋体"/>
          <w:sz w:val="21"/>
        </w:rPr>
        <w:t>图 4：置换重要性（测试集 10000 行 × 5 重复）。Bonus/Age/Density/Group1 四项显著高于其它变量，但 SubGroup2 因高基数被低估，且 PFI 无法呈现方向与形状。</w:t>
      </w:r>
    </w:p>
    <w:p>
      <w:r>
        <w:rPr>
          <w:rFonts w:ascii="宋体" w:hAnsi="宋体" w:eastAsia="宋体"/>
          <w:sz w:val="21"/>
        </w:rPr>
        <w:t>部分依赖图（PDP）：</w:t>
      </w:r>
    </w:p>
    <w:p>
      <w:r>
        <w:rPr>
          <w:rFonts w:ascii="宋体" w:hAnsi="宋体" w:eastAsia="宋体"/>
          <w:sz w:val="21"/>
        </w:rPr>
        <w:t>优势：全局、可视化、易解读。作业 1 的 Density PDP 在测试集支撑量充足（每区间 500-700 行）的前提下，单调展示「高密度地区年化理赔频率约 0.30，是低密度地区 0.09 的 3.3 倍」，这与精算经验高度一致。PDP 不需要任何模型内部访问，易于对监管、董事会或非技术利益相关方展示「平均而言，该变量对预测的影响方向与强度」。</w:t>
      </w:r>
    </w:p>
    <w:p>
      <w:r>
        <w:rPr>
          <w:rFonts w:ascii="宋体" w:hAnsi="宋体" w:eastAsia="宋体"/>
          <w:sz w:val="21"/>
        </w:rPr>
        <w:t>局限：当变量强相关时，PDP 容易被「不现实的组合」污染。讲座已经明确指出此问题——若 Density 与 Group1 高度相关，把 Density 设为 300 而保持 Group1 不变，会产生数据中几乎不存在的「都市 + 低 Group1 风险」组合，导致 PDP 数值偏向异常区域。在第 4 章讲座中，Xin (2025) 的对抗性扰动研究也表明PDP 在自变量高度相关时易被操控。</w:t>
      </w:r>
    </w:p>
    <w:p>
      <w:r>
        <w:rPr>
          <w:rFonts w:ascii="宋体" w:hAnsi="宋体" w:eastAsia="宋体"/>
          <w:sz w:val="21"/>
        </w:rPr>
        <w:t>累积局部效应（ALE）：</w:t>
      </w:r>
    </w:p>
    <w:p>
      <w:r>
        <w:rPr>
          <w:rFonts w:ascii="宋体" w:hAnsi="宋体" w:eastAsia="宋体"/>
          <w:sz w:val="21"/>
        </w:rPr>
        <w:t>优势：对相关预测变量稳健。作业 1 中 Density 的 ALE 曲线与 PDP 高度吻合，正是由于 Density 与其他变量相关性较弱，二者都能给出正确估计；但一旦相关性增强，ALE 的局部残差定义（仅在观测数据分布内做差）会让其结果显著偏离 PDP 而更接近真实因果效应。对监管沟通而言，ALE 是「稳健版 PDP」——它承认变量间的依赖关系，并避免不现实组合。</w:t>
      </w:r>
    </w:p>
    <w:p>
      <w:r>
        <w:rPr>
          <w:rFonts w:ascii="宋体" w:hAnsi="宋体" w:eastAsia="宋体"/>
          <w:sz w:val="21"/>
        </w:rPr>
        <w:t>局限：解读不如 PDP 直观。ALE 表示「相对于平均预测的偏离」，而不是「该变量在该取值下的预测」，需要解释者主动说明「ALE=0 并不代表预测无风险，而代表该变量对平均预测没有进一步推高或拉低」。且 ALE 对区间划分敏感——分位数划分与等宽划分在尾部可能给出不同形状，分箱数过少会掩盖局部拐点。</w:t>
      </w:r>
    </w:p>
    <w:p>
      <w:r>
        <w:rPr>
          <w:rFonts w:ascii="宋体" w:hAnsi="宋体" w:eastAsia="宋体"/>
          <w:sz w:val="21"/>
        </w:rPr>
        <w:t>SHAP（TreeSHAP）：</w:t>
      </w:r>
    </w:p>
    <w:p>
      <w:r>
        <w:rPr>
          <w:rFonts w:ascii="宋体" w:hAnsi="宋体" w:eastAsia="宋体"/>
          <w:sz w:val="21"/>
        </w:rPr>
        <w:t>优势：兼具全局与局部解释，且加性归因。作业 2a 复现的分组 SHAP 重要性与讲座的分组增益重要性在排序上高度一致（Bonus &gt; Age &gt; Density &gt; Group1 &gt; Occupation…），但 SHAP 还附带了每个观测的局部方向与幅度。作业 2b 展示的瀑布图能把一份具体保单的高风险评分拆解为可向客户解释的若干因素，这是 PDP/ALE/PFI 都不能直接做到的。</w:t>
      </w:r>
    </w:p>
    <w:p>
      <w:r>
        <w:rPr>
          <w:rFonts w:ascii="宋体" w:hAnsi="宋体" w:eastAsia="宋体"/>
          <w:sz w:val="21"/>
        </w:rPr>
        <w:t>局限：解释的可信度并非因果性。Slack et al. (2020) 表明 SHAP/LIME 等方法可能产生具有误导性的解释，尤其是在高维、多重共线性的情形下。作业 2b 中，虽然 Age、Density、Bonus 各自贡献明确，但它们的联合效应可能因训练样本的分布而产生内生的伪相关——比如高 Density 区域同时伴随较年轻的驾驶员结构，模型在「Density +0.51 / Age +0.25」之间的拆分只是按 Shapley 价值的归因，并不等同于「若把 Density 降一半，频率会降 2.7 倍」这样的因果陈述。</w:t>
      </w:r>
    </w:p>
    <w:p>
      <w:r>
        <w:rPr>
          <w:rFonts w:ascii="黑体" w:hAnsi="黑体" w:eastAsia="黑体"/>
          <w:b/>
          <w:sz w:val="26"/>
        </w:rPr>
        <w:t>3b 向监管机构说明单一不利决策时如何配合</w:t>
      </w:r>
    </w:p>
    <w:p>
      <w:r>
        <w:rPr>
          <w:rFonts w:ascii="宋体" w:hAnsi="宋体" w:eastAsia="宋体"/>
          <w:sz w:val="21"/>
        </w:rPr>
        <w:t>对一位因高预测频率被拒保或被收取高保费的客户，向监管机构（NIA, SOA, NAIC）说明单一不利决策时，这四种方法应协同使用：</w:t>
      </w:r>
    </w:p>
    <w:p>
      <w:r>
        <w:rPr>
          <w:rFonts w:ascii="宋体" w:hAnsi="宋体" w:eastAsia="宋体"/>
          <w:sz w:val="21"/>
        </w:rPr>
        <w:t>（1）以 PFI/全局 SHAP 重要性作为「哪些变量是定价模型主要驱动力」的统计证据。Bonus 与 Age 的高 PFI 与高 SHAP 重要性的双重证据，说明这些是定价模型在业务层面真正依赖的因素，而非偶然的统计噪声。监管可由此判断模型决策并非基于单变量的偶然性。</w:t>
      </w:r>
    </w:p>
    <w:p>
      <w:r>
        <w:rPr>
          <w:rFonts w:ascii="宋体" w:hAnsi="宋体" w:eastAsia="宋体"/>
          <w:sz w:val="21"/>
        </w:rPr>
        <w:t>（2）以 PDP/ALE 提供「这些主要因素如何影响频率」的方向性证据。对客户的具体 Density 值，可以用作业 1 的 PDP 曲线上 296 居民/km² 对应的约 0.30 平均年化频率，与该保单的实际预测 0.38 做对比，说明该保单被评估为高风险，与其居住地属于人口稠密区的事实相符。</w:t>
      </w:r>
    </w:p>
    <w:p>
      <w:r>
        <w:rPr>
          <w:rFonts w:ascii="宋体" w:hAnsi="宋体" w:eastAsia="宋体"/>
          <w:sz w:val="21"/>
        </w:rPr>
        <w:t>（3）以 SHAP 局部归因提供「这份保单具体为何被评估为如此」的逐项解释。作业 2b 的瀑布图能精确分解该保单0.38 预测频率中来自各变量的正负贡献，并允许客户对其中任意一项提出质疑（如「我今年才 28 岁，下次续保时是否仍按年轻驾驶员定价？」），并基于此讨论续保时点与可能的折扣。</w:t>
      </w:r>
    </w:p>
    <w:p>
      <w:r>
        <w:rPr>
          <w:rFonts w:ascii="宋体" w:hAnsi="宋体" w:eastAsia="宋体"/>
          <w:sz w:val="21"/>
        </w:rPr>
        <w:t>（4）将 ALE 作为对「不相关特征偶然相关」质疑的稳健性反驳。若客户辩称「我的 Bonus 只是因为一次轻微剐蹭而增加，不应等同于真正的高风险」，ALE 在高 Bonus 区间的局部变化能说明该风险因子在业务组合上确实对应于一段稳定的预测频率抬升——且这种抬升不是因为与某地相关变量纠缠而制造的伪相关。</w:t>
      </w:r>
    </w:p>
    <w:p>
      <w:r>
        <w:rPr>
          <w:rFonts w:ascii="宋体" w:hAnsi="宋体" w:eastAsia="宋体"/>
          <w:sz w:val="21"/>
        </w:rPr>
        <w:t>综上，没有任何一种方法能独立承担「解释单一不利决策」的任务。PFI/全局 SHAP 提供整体证据，PDP/ALE 提供形状证据，SHAP 局部归因提供个案证据，ALE 额外提供相关性的稳健性检查。只有这四种方法协同使用，监管机构才能从统计、形状、个案、稳健性四个角度综合判断该决策是否有充分且无歧视的依据。</w:t>
      </w:r>
    </w:p>
    <w:p>
      <w:pPr>
        <w:jc w:val="left"/>
      </w:pPr>
      <w:r>
        <w:rPr>
          <w:rFonts w:ascii="黑体" w:hAnsi="黑体" w:eastAsia="黑体"/>
          <w:b/>
          <w:sz w:val="32"/>
        </w:rPr>
        <w:t>小结</w:t>
      </w:r>
    </w:p>
    <w:p>
      <w:r>
        <w:rPr>
          <w:rFonts w:ascii="宋体" w:hAnsi="宋体" w:eastAsia="宋体"/>
          <w:sz w:val="21"/>
        </w:rPr>
        <w:t>本作业在讲座模型与数据基础上，完成了对 Density 的 PDP/ALE 诊断、对非示例保单的 SHAP 全局与局部解释，并以 PFI/PDP/ALE/SHAP 协同使用的方式回应了「如何向监管机构说明单一不利决策」这一更高层次的问题。</w:t>
      </w:r>
    </w:p>
    <w:p>
      <w:r>
        <w:rPr>
          <w:rFonts w:ascii="宋体" w:hAnsi="宋体" w:eastAsia="宋体"/>
          <w:sz w:val="21"/>
        </w:rPr>
        <w:t>Density 的 PDP 与 ALE 形态一致，说明其与其它定价因子相关性较弱，主效应可由 PDP 安全概括；除 Age 与 Bonus 外，Group1 与 Occupation 是影响最大的两个变量，其中 Group1 的多分类水平显示出「按风险分群定价」在车险场景中的统计必要性；对一份具体高风险保单，可通过 SHAP 瀑布图将预测频率的 0.38 分解为Density +0.51、Age +0.25、Bonus +0.15、Type -0.14、SubGroup2 -0.11 等可向客户清晰解释的若干因素，在监管沟通中与 PFI/PDP/ALE 形成四重证据。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