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color w:val="000000"/>
        </w:rPr>
        <w:t>作业3：公平性实践</w:t>
      </w:r>
    </w:p>
    <w:p>
      <w:pPr>
        <w:jc w:val="center"/>
      </w:pPr>
      <w:r>
        <w:rPr>
          <w:b w:val="0"/>
          <w:sz w:val="22"/>
        </w:rPr>
        <w:t>《负责任人工智能：原则、治理与量化方法》</w:t>
      </w:r>
    </w:p>
    <w:p>
      <w:pPr>
        <w:jc w:val="center"/>
      </w:pPr>
      <w:r>
        <w:rPr>
          <w:b w:val="0"/>
          <w:sz w:val="22"/>
        </w:rPr>
        <w:t>黄斐，新南威尔士大学</w:t>
      </w:r>
    </w:p>
    <w:p>
      <w:pPr>
        <w:jc w:val="center"/>
      </w:pPr>
      <w:r>
        <w:rPr>
          <w:b w:val="0"/>
          <w:sz w:val="22"/>
        </w:rPr>
        <w:t>姓名：林富强    专业：软件工程</w:t>
      </w:r>
    </w:p>
    <w:p/>
    <w:p>
      <w:pPr>
        <w:pStyle w:val="Heading1"/>
      </w:pPr>
      <w:r>
        <w:rPr>
          <w:rFonts w:ascii="Times New Roman" w:hAnsi="Times New Roman" w:eastAsia="黑体"/>
          <w:color w:val="000000"/>
        </w:rPr>
        <w:t>概述与实现环境</w:t>
      </w:r>
    </w:p>
    <w:p>
      <w:r>
        <w:rPr>
          <w:b w:val="0"/>
          <w:sz w:val="22"/>
        </w:rPr>
        <w:t>本作业在第三章两个案例研究（车险公平定价、COMPAS 审前风险评估）的基础上，完成六道题目：A 部分车险定价的 MDP 的 lambda 扫描（问题1）、对另一个变量去偏（问题2）、为何仅靠无意识不够（问题3）与部署建议（问题4）；B 部分 COMPAS 分类的 theta 扩展扫描（问题5）与不存在满足所有准则的 theta（问题6）。</w:t>
      </w:r>
    </w:p>
    <w:p>
      <w:r>
        <w:rPr>
          <w:b w:val="0"/>
          <w:sz w:val="22"/>
        </w:rPr>
        <w:t>实现采用 Python 3.12（Anaconda）：GLM 用 statsmodels（Poisson 频率 + Gamma 严重程度），梯度提升用 xgboost（count:poisson / reg:gamma，base_margin 传递风险敞口与预测频率），差异性影响消除器（disparate_impact_remover，Feldman et al. 2015）与拒绝选项修正（roc_pivot，Kamiran et al. 2012）严格对照 fairmodels/fairness 包源码在 Python 中复刻；分类公平性指标（人口统计学均等性、TPR 差距、预测率均等性）按 fairness 包定义计算。数据为 TASK3/pg15training_processed.csv（100,000 份保单）与 fairness 包 compas 数据集（两大族裔 5,278 名被告）。完整代码见 TASK3/py/ 目录。</w:t>
      </w:r>
    </w:p>
    <w:p>
      <w:pPr>
        <w:pStyle w:val="Heading1"/>
      </w:pPr>
      <w:r>
        <w:rPr>
          <w:rFonts w:ascii="Times New Roman" w:hAnsi="Times New Roman" w:eastAsia="黑体"/>
          <w:color w:val="000000"/>
        </w:rPr>
        <w:t>A 部分——车险定价</w:t>
      </w:r>
    </w:p>
    <w:p>
      <w:pPr>
        <w:pStyle w:val="Heading2"/>
      </w:pPr>
      <w:r>
        <w:rPr>
          <w:rFonts w:ascii="Times New Roman" w:hAnsi="Times New Roman" w:eastAsia="黑体"/>
          <w:color w:val="000000"/>
        </w:rPr>
        <w:t>基线复现：五种模型设计（GLM 与 XGBoost）</w:t>
      </w:r>
    </w:p>
    <w:p>
      <w:r>
        <w:rPr>
          <w:b w:val="0"/>
          <w:sz w:val="22"/>
        </w:rPr>
        <w:t>按讲义流程复现：M0（完整模型，含 Gender）、MU（无意识，移除 Gender）、MDP（所有预测变量去偏）、MCDP（仅对非合法变量 Insurancescore 去偏）、MC（拟合完整模型，评分时对性别取平均），每种设计分别以 GLM 与 XGBoost 拟合；频率—严重程度分解下纯保费 = 频率 × 严重程度 × 365，模型3-5 与全部 XGBoost 模型的组合保费总额均按比例缩放至与 GLM MU 一致。</w:t>
      </w:r>
    </w:p>
    <w:p>
      <w:pPr>
        <w:jc w:val="center"/>
      </w:pPr>
      <w:r>
        <w:rPr>
          <w:b/>
          <w:sz w:val="20"/>
        </w:rPr>
        <w:t>表1  平均预测纯保费（按性别，与讲义表一致）</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p>
        </w:tc>
        <w:tc>
          <w:tcPr>
            <w:tcW w:type="dxa" w:w="1440"/>
          </w:tcPr>
          <w:p>
            <w:r>
              <w:rPr>
                <w:sz w:val="18"/>
              </w:rPr>
              <w:t>M0</w:t>
            </w:r>
          </w:p>
        </w:tc>
        <w:tc>
          <w:tcPr>
            <w:tcW w:type="dxa" w:w="1440"/>
          </w:tcPr>
          <w:p>
            <w:r>
              <w:rPr>
                <w:sz w:val="18"/>
              </w:rPr>
              <w:t>MU</w:t>
            </w:r>
          </w:p>
        </w:tc>
        <w:tc>
          <w:tcPr>
            <w:tcW w:type="dxa" w:w="1440"/>
          </w:tcPr>
          <w:p>
            <w:r>
              <w:rPr>
                <w:sz w:val="18"/>
              </w:rPr>
              <w:t>MDP</w:t>
            </w:r>
          </w:p>
        </w:tc>
        <w:tc>
          <w:tcPr>
            <w:tcW w:type="dxa" w:w="1440"/>
          </w:tcPr>
          <w:p>
            <w:r>
              <w:rPr>
                <w:sz w:val="18"/>
              </w:rPr>
              <w:t>MCDP</w:t>
            </w:r>
          </w:p>
        </w:tc>
        <w:tc>
          <w:tcPr>
            <w:tcW w:type="dxa" w:w="1440"/>
          </w:tcPr>
          <w:p>
            <w:r>
              <w:rPr>
                <w:sz w:val="18"/>
              </w:rPr>
              <w:t>MC</w:t>
            </w:r>
          </w:p>
        </w:tc>
      </w:tr>
      <w:tr>
        <w:tc>
          <w:tcPr>
            <w:tcW w:type="dxa" w:w="1440"/>
          </w:tcPr>
          <w:p>
            <w:r>
              <w:rPr>
                <w:sz w:val="18"/>
              </w:rPr>
              <w:t>GLM male</w:t>
            </w:r>
          </w:p>
        </w:tc>
        <w:tc>
          <w:tcPr>
            <w:tcW w:type="dxa" w:w="1440"/>
          </w:tcPr>
          <w:p>
            <w:r>
              <w:rPr>
                <w:sz w:val="18"/>
              </w:rPr>
              <w:t>130.47</w:t>
            </w:r>
          </w:p>
        </w:tc>
        <w:tc>
          <w:tcPr>
            <w:tcW w:type="dxa" w:w="1440"/>
          </w:tcPr>
          <w:p>
            <w:r>
              <w:rPr>
                <w:sz w:val="18"/>
              </w:rPr>
              <w:t>114.03</w:t>
            </w:r>
          </w:p>
        </w:tc>
        <w:tc>
          <w:tcPr>
            <w:tcW w:type="dxa" w:w="1440"/>
          </w:tcPr>
          <w:p>
            <w:r>
              <w:rPr>
                <w:sz w:val="18"/>
              </w:rPr>
              <w:t>117.90</w:t>
            </w:r>
          </w:p>
        </w:tc>
        <w:tc>
          <w:tcPr>
            <w:tcW w:type="dxa" w:w="1440"/>
          </w:tcPr>
          <w:p>
            <w:r>
              <w:rPr>
                <w:sz w:val="18"/>
              </w:rPr>
              <w:t>115.79</w:t>
            </w:r>
          </w:p>
        </w:tc>
        <w:tc>
          <w:tcPr>
            <w:tcW w:type="dxa" w:w="1440"/>
          </w:tcPr>
          <w:p>
            <w:r>
              <w:rPr>
                <w:sz w:val="18"/>
              </w:rPr>
              <w:t>113.95</w:t>
            </w:r>
          </w:p>
        </w:tc>
      </w:tr>
      <w:tr>
        <w:tc>
          <w:tcPr>
            <w:tcW w:type="dxa" w:w="1440"/>
          </w:tcPr>
          <w:p>
            <w:r>
              <w:rPr>
                <w:sz w:val="18"/>
              </w:rPr>
              <w:t>GLM female</w:t>
            </w:r>
          </w:p>
        </w:tc>
        <w:tc>
          <w:tcPr>
            <w:tcW w:type="dxa" w:w="1440"/>
          </w:tcPr>
          <w:p>
            <w:r>
              <w:rPr>
                <w:sz w:val="18"/>
              </w:rPr>
              <w:t>95.66</w:t>
            </w:r>
          </w:p>
        </w:tc>
        <w:tc>
          <w:tcPr>
            <w:tcW w:type="dxa" w:w="1440"/>
          </w:tcPr>
          <w:p>
            <w:r>
              <w:rPr>
                <w:sz w:val="18"/>
              </w:rPr>
              <w:t>124.05</w:t>
            </w:r>
          </w:p>
        </w:tc>
        <w:tc>
          <w:tcPr>
            <w:tcW w:type="dxa" w:w="1440"/>
          </w:tcPr>
          <w:p>
            <w:r>
              <w:rPr>
                <w:sz w:val="18"/>
              </w:rPr>
              <w:t>117.33</w:t>
            </w:r>
          </w:p>
        </w:tc>
        <w:tc>
          <w:tcPr>
            <w:tcW w:type="dxa" w:w="1440"/>
          </w:tcPr>
          <w:p>
            <w:r>
              <w:rPr>
                <w:sz w:val="18"/>
              </w:rPr>
              <w:t>121.00</w:t>
            </w:r>
          </w:p>
        </w:tc>
        <w:tc>
          <w:tcPr>
            <w:tcW w:type="dxa" w:w="1440"/>
          </w:tcPr>
          <w:p>
            <w:r>
              <w:rPr>
                <w:sz w:val="18"/>
              </w:rPr>
              <w:t>124.18</w:t>
            </w:r>
          </w:p>
        </w:tc>
      </w:tr>
      <w:tr>
        <w:tc>
          <w:tcPr>
            <w:tcW w:type="dxa" w:w="1440"/>
          </w:tcPr>
          <w:p>
            <w:r>
              <w:rPr>
                <w:sz w:val="18"/>
              </w:rPr>
              <w:t>XGBoost male</w:t>
            </w:r>
          </w:p>
        </w:tc>
        <w:tc>
          <w:tcPr>
            <w:tcW w:type="dxa" w:w="1440"/>
          </w:tcPr>
          <w:p>
            <w:r>
              <w:rPr>
                <w:sz w:val="18"/>
              </w:rPr>
              <w:t>131.00</w:t>
            </w:r>
          </w:p>
        </w:tc>
        <w:tc>
          <w:tcPr>
            <w:tcW w:type="dxa" w:w="1440"/>
          </w:tcPr>
          <w:p>
            <w:r>
              <w:rPr>
                <w:sz w:val="18"/>
              </w:rPr>
              <w:t>114.38</w:t>
            </w:r>
          </w:p>
        </w:tc>
        <w:tc>
          <w:tcPr>
            <w:tcW w:type="dxa" w:w="1440"/>
          </w:tcPr>
          <w:p>
            <w:r>
              <w:rPr>
                <w:sz w:val="18"/>
              </w:rPr>
              <w:t>118.66</w:t>
            </w:r>
          </w:p>
        </w:tc>
        <w:tc>
          <w:tcPr>
            <w:tcW w:type="dxa" w:w="1440"/>
          </w:tcPr>
          <w:p>
            <w:r>
              <w:rPr>
                <w:sz w:val="18"/>
              </w:rPr>
              <w:t>115.07</w:t>
            </w:r>
          </w:p>
        </w:tc>
        <w:tc>
          <w:tcPr>
            <w:tcW w:type="dxa" w:w="1440"/>
          </w:tcPr>
          <w:p>
            <w:r>
              <w:rPr>
                <w:sz w:val="18"/>
              </w:rPr>
              <w:t>114.21</w:t>
            </w:r>
          </w:p>
        </w:tc>
      </w:tr>
      <w:tr>
        <w:tc>
          <w:tcPr>
            <w:tcW w:type="dxa" w:w="1440"/>
          </w:tcPr>
          <w:p>
            <w:r>
              <w:rPr>
                <w:sz w:val="18"/>
              </w:rPr>
              <w:t>XGBoost female</w:t>
            </w:r>
          </w:p>
        </w:tc>
        <w:tc>
          <w:tcPr>
            <w:tcW w:type="dxa" w:w="1440"/>
          </w:tcPr>
          <w:p>
            <w:r>
              <w:rPr>
                <w:sz w:val="18"/>
              </w:rPr>
              <w:t>94.61</w:t>
            </w:r>
          </w:p>
        </w:tc>
        <w:tc>
          <w:tcPr>
            <w:tcW w:type="dxa" w:w="1440"/>
          </w:tcPr>
          <w:p>
            <w:r>
              <w:rPr>
                <w:sz w:val="18"/>
              </w:rPr>
              <w:t>123.43</w:t>
            </w:r>
          </w:p>
        </w:tc>
        <w:tc>
          <w:tcPr>
            <w:tcW w:type="dxa" w:w="1440"/>
          </w:tcPr>
          <w:p>
            <w:r>
              <w:rPr>
                <w:sz w:val="18"/>
              </w:rPr>
              <w:t>116.02</w:t>
            </w:r>
          </w:p>
        </w:tc>
        <w:tc>
          <w:tcPr>
            <w:tcW w:type="dxa" w:w="1440"/>
          </w:tcPr>
          <w:p>
            <w:r>
              <w:rPr>
                <w:sz w:val="18"/>
              </w:rPr>
              <w:t>122.23</w:t>
            </w:r>
          </w:p>
        </w:tc>
        <w:tc>
          <w:tcPr>
            <w:tcW w:type="dxa" w:w="1440"/>
          </w:tcPr>
          <w:p>
            <w:r>
              <w:rPr>
                <w:sz w:val="18"/>
              </w:rPr>
              <w:t>123.74</w:t>
            </w:r>
          </w:p>
        </w:tc>
      </w:tr>
    </w:tbl>
    <w:p/>
    <w:p>
      <w:r>
        <w:rPr>
          <w:b w:val="0"/>
          <w:sz w:val="22"/>
        </w:rPr>
        <w:t>复现结果与讲义平均保费表吻合（GLM：male M0=130.47、MU=114.03；female M0=95.66、MU=124.05 等，MDP/MCDP 因去偏步骤的随机噪声（jitter）存在 ±0.3 的合理微差；XGBoost 差异小于 0.1）。</w:t>
      </w:r>
    </w:p>
    <w:p>
      <w:pPr>
        <w:jc w:val="center"/>
      </w:pPr>
      <w:r>
        <w:rPr>
          <w:b/>
          <w:sz w:val="20"/>
        </w:rPr>
        <w:t>表2  公平性—准确性汇总（DIR = male/female，RMSE 越小越好）</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male_mean</w:t>
            </w:r>
          </w:p>
        </w:tc>
        <w:tc>
          <w:tcPr>
            <w:tcW w:type="dxa" w:w="1728"/>
          </w:tcPr>
          <w:p>
            <w:r>
              <w:rPr>
                <w:sz w:val="18"/>
              </w:rPr>
              <w:t>female_mean</w:t>
            </w:r>
          </w:p>
        </w:tc>
        <w:tc>
          <w:tcPr>
            <w:tcW w:type="dxa" w:w="1728"/>
          </w:tcPr>
          <w:p>
            <w:r>
              <w:rPr>
                <w:sz w:val="18"/>
              </w:rPr>
              <w:t>disparate_impact_ratio</w:t>
            </w:r>
          </w:p>
        </w:tc>
        <w:tc>
          <w:tcPr>
            <w:tcW w:type="dxa" w:w="1728"/>
          </w:tcPr>
          <w:p>
            <w:r>
              <w:rPr>
                <w:sz w:val="18"/>
              </w:rPr>
              <w:t>rmse</w:t>
            </w:r>
          </w:p>
        </w:tc>
      </w:tr>
      <w:tr>
        <w:tc>
          <w:tcPr>
            <w:tcW w:type="dxa" w:w="1728"/>
          </w:tcPr>
          <w:p>
            <w:r>
              <w:rPr>
                <w:sz w:val="18"/>
              </w:rPr>
              <w:t>('GLM', 'M0: Full Model')</w:t>
            </w:r>
          </w:p>
        </w:tc>
        <w:tc>
          <w:tcPr>
            <w:tcW w:type="dxa" w:w="1728"/>
          </w:tcPr>
          <w:p>
            <w:r>
              <w:rPr>
                <w:sz w:val="18"/>
              </w:rPr>
              <w:t>130.46851</w:t>
            </w:r>
          </w:p>
        </w:tc>
        <w:tc>
          <w:tcPr>
            <w:tcW w:type="dxa" w:w="1728"/>
          </w:tcPr>
          <w:p>
            <w:r>
              <w:rPr>
                <w:sz w:val="18"/>
              </w:rPr>
              <w:t>95.65875</w:t>
            </w:r>
          </w:p>
        </w:tc>
        <w:tc>
          <w:tcPr>
            <w:tcW w:type="dxa" w:w="1728"/>
          </w:tcPr>
          <w:p>
            <w:r>
              <w:rPr>
                <w:sz w:val="18"/>
              </w:rPr>
              <w:t>1.36390</w:t>
            </w:r>
          </w:p>
        </w:tc>
        <w:tc>
          <w:tcPr>
            <w:tcW w:type="dxa" w:w="1728"/>
          </w:tcPr>
          <w:p>
            <w:r>
              <w:rPr>
                <w:sz w:val="18"/>
              </w:rPr>
              <w:t>484.29308</w:t>
            </w:r>
          </w:p>
        </w:tc>
      </w:tr>
      <w:tr>
        <w:tc>
          <w:tcPr>
            <w:tcW w:type="dxa" w:w="1728"/>
          </w:tcPr>
          <w:p>
            <w:r>
              <w:rPr>
                <w:sz w:val="18"/>
              </w:rPr>
              <w:t>('GLM', 'MC: Controlling for the Protected Variable')</w:t>
            </w:r>
          </w:p>
        </w:tc>
        <w:tc>
          <w:tcPr>
            <w:tcW w:type="dxa" w:w="1728"/>
          </w:tcPr>
          <w:p>
            <w:r>
              <w:rPr>
                <w:sz w:val="18"/>
              </w:rPr>
              <w:t>113.95034</w:t>
            </w:r>
          </w:p>
        </w:tc>
        <w:tc>
          <w:tcPr>
            <w:tcW w:type="dxa" w:w="1728"/>
          </w:tcPr>
          <w:p>
            <w:r>
              <w:rPr>
                <w:sz w:val="18"/>
              </w:rPr>
              <w:t>124.17989</w:t>
            </w:r>
          </w:p>
        </w:tc>
        <w:tc>
          <w:tcPr>
            <w:tcW w:type="dxa" w:w="1728"/>
          </w:tcPr>
          <w:p>
            <w:r>
              <w:rPr>
                <w:sz w:val="18"/>
              </w:rPr>
              <w:t>0.91762</w:t>
            </w:r>
          </w:p>
        </w:tc>
        <w:tc>
          <w:tcPr>
            <w:tcW w:type="dxa" w:w="1728"/>
          </w:tcPr>
          <w:p>
            <w:r>
              <w:rPr>
                <w:sz w:val="18"/>
              </w:rPr>
              <w:t>486.47161</w:t>
            </w:r>
          </w:p>
        </w:tc>
      </w:tr>
      <w:tr>
        <w:tc>
          <w:tcPr>
            <w:tcW w:type="dxa" w:w="1728"/>
          </w:tcPr>
          <w:p>
            <w:r>
              <w:rPr>
                <w:sz w:val="18"/>
              </w:rPr>
              <w:t>('GLM', 'MCDP: Conditional Demographic Parity')</w:t>
            </w:r>
          </w:p>
        </w:tc>
        <w:tc>
          <w:tcPr>
            <w:tcW w:type="dxa" w:w="1728"/>
          </w:tcPr>
          <w:p>
            <w:r>
              <w:rPr>
                <w:sz w:val="18"/>
              </w:rPr>
              <w:t>115.78631</w:t>
            </w:r>
          </w:p>
        </w:tc>
        <w:tc>
          <w:tcPr>
            <w:tcW w:type="dxa" w:w="1728"/>
          </w:tcPr>
          <w:p>
            <w:r>
              <w:rPr>
                <w:sz w:val="18"/>
              </w:rPr>
              <w:t>120.99516</w:t>
            </w:r>
          </w:p>
        </w:tc>
        <w:tc>
          <w:tcPr>
            <w:tcW w:type="dxa" w:w="1728"/>
          </w:tcPr>
          <w:p>
            <w:r>
              <w:rPr>
                <w:sz w:val="18"/>
              </w:rPr>
              <w:t>0.95695</w:t>
            </w:r>
          </w:p>
        </w:tc>
        <w:tc>
          <w:tcPr>
            <w:tcW w:type="dxa" w:w="1728"/>
          </w:tcPr>
          <w:p>
            <w:r>
              <w:rPr>
                <w:sz w:val="18"/>
              </w:rPr>
              <w:t>492.99517</w:t>
            </w:r>
          </w:p>
        </w:tc>
      </w:tr>
      <w:tr>
        <w:tc>
          <w:tcPr>
            <w:tcW w:type="dxa" w:w="1728"/>
          </w:tcPr>
          <w:p>
            <w:r>
              <w:rPr>
                <w:sz w:val="18"/>
              </w:rPr>
              <w:t>('GLM', 'MDP: Demographic Parity')</w:t>
            </w:r>
          </w:p>
        </w:tc>
        <w:tc>
          <w:tcPr>
            <w:tcW w:type="dxa" w:w="1728"/>
          </w:tcPr>
          <w:p>
            <w:r>
              <w:rPr>
                <w:sz w:val="18"/>
              </w:rPr>
              <w:t>117.90155</w:t>
            </w:r>
          </w:p>
        </w:tc>
        <w:tc>
          <w:tcPr>
            <w:tcW w:type="dxa" w:w="1728"/>
          </w:tcPr>
          <w:p>
            <w:r>
              <w:rPr>
                <w:sz w:val="18"/>
              </w:rPr>
              <w:t>117.32599</w:t>
            </w:r>
          </w:p>
        </w:tc>
        <w:tc>
          <w:tcPr>
            <w:tcW w:type="dxa" w:w="1728"/>
          </w:tcPr>
          <w:p>
            <w:r>
              <w:rPr>
                <w:sz w:val="18"/>
              </w:rPr>
              <w:t>1.00491</w:t>
            </w:r>
          </w:p>
        </w:tc>
        <w:tc>
          <w:tcPr>
            <w:tcW w:type="dxa" w:w="1728"/>
          </w:tcPr>
          <w:p>
            <w:r>
              <w:rPr>
                <w:sz w:val="18"/>
              </w:rPr>
              <w:t>492.10585</w:t>
            </w:r>
          </w:p>
        </w:tc>
      </w:tr>
      <w:tr>
        <w:tc>
          <w:tcPr>
            <w:tcW w:type="dxa" w:w="1728"/>
          </w:tcPr>
          <w:p>
            <w:r>
              <w:rPr>
                <w:sz w:val="18"/>
              </w:rPr>
              <w:t>('GLM', 'MU: Unawareness Model')</w:t>
            </w:r>
          </w:p>
        </w:tc>
        <w:tc>
          <w:tcPr>
            <w:tcW w:type="dxa" w:w="1728"/>
          </w:tcPr>
          <w:p>
            <w:r>
              <w:rPr>
                <w:sz w:val="18"/>
              </w:rPr>
              <w:t>114.02764</w:t>
            </w:r>
          </w:p>
        </w:tc>
        <w:tc>
          <w:tcPr>
            <w:tcW w:type="dxa" w:w="1728"/>
          </w:tcPr>
          <w:p>
            <w:r>
              <w:rPr>
                <w:sz w:val="18"/>
              </w:rPr>
              <w:t>124.04581</w:t>
            </w:r>
          </w:p>
        </w:tc>
        <w:tc>
          <w:tcPr>
            <w:tcW w:type="dxa" w:w="1728"/>
          </w:tcPr>
          <w:p>
            <w:r>
              <w:rPr>
                <w:sz w:val="18"/>
              </w:rPr>
              <w:t>0.91924</w:t>
            </w:r>
          </w:p>
        </w:tc>
        <w:tc>
          <w:tcPr>
            <w:tcW w:type="dxa" w:w="1728"/>
          </w:tcPr>
          <w:p>
            <w:r>
              <w:rPr>
                <w:sz w:val="18"/>
              </w:rPr>
              <w:t>486.45505</w:t>
            </w:r>
          </w:p>
        </w:tc>
      </w:tr>
      <w:tr>
        <w:tc>
          <w:tcPr>
            <w:tcW w:type="dxa" w:w="1728"/>
          </w:tcPr>
          <w:p>
            <w:r>
              <w:rPr>
                <w:sz w:val="18"/>
              </w:rPr>
              <w:t>('XGBoost', 'M0: Full Model')</w:t>
            </w:r>
          </w:p>
        </w:tc>
        <w:tc>
          <w:tcPr>
            <w:tcW w:type="dxa" w:w="1728"/>
          </w:tcPr>
          <w:p>
            <w:r>
              <w:rPr>
                <w:sz w:val="18"/>
              </w:rPr>
              <w:t>130.99827</w:t>
            </w:r>
          </w:p>
        </w:tc>
        <w:tc>
          <w:tcPr>
            <w:tcW w:type="dxa" w:w="1728"/>
          </w:tcPr>
          <w:p>
            <w:r>
              <w:rPr>
                <w:sz w:val="18"/>
              </w:rPr>
              <w:t>94.60802</w:t>
            </w:r>
          </w:p>
        </w:tc>
        <w:tc>
          <w:tcPr>
            <w:tcW w:type="dxa" w:w="1728"/>
          </w:tcPr>
          <w:p>
            <w:r>
              <w:rPr>
                <w:sz w:val="18"/>
              </w:rPr>
              <w:t>1.38464</w:t>
            </w:r>
          </w:p>
        </w:tc>
        <w:tc>
          <w:tcPr>
            <w:tcW w:type="dxa" w:w="1728"/>
          </w:tcPr>
          <w:p>
            <w:r>
              <w:rPr>
                <w:sz w:val="18"/>
              </w:rPr>
              <w:t>476.96980</w:t>
            </w:r>
          </w:p>
        </w:tc>
      </w:tr>
      <w:tr>
        <w:tc>
          <w:tcPr>
            <w:tcW w:type="dxa" w:w="1728"/>
          </w:tcPr>
          <w:p>
            <w:r>
              <w:rPr>
                <w:sz w:val="18"/>
              </w:rPr>
              <w:t>('XGBoost', 'MC: Controlling for the Protected Variable')</w:t>
            </w:r>
          </w:p>
        </w:tc>
        <w:tc>
          <w:tcPr>
            <w:tcW w:type="dxa" w:w="1728"/>
          </w:tcPr>
          <w:p>
            <w:r>
              <w:rPr>
                <w:sz w:val="18"/>
              </w:rPr>
              <w:t>114.20609</w:t>
            </w:r>
          </w:p>
        </w:tc>
        <w:tc>
          <w:tcPr>
            <w:tcW w:type="dxa" w:w="1728"/>
          </w:tcPr>
          <w:p>
            <w:r>
              <w:rPr>
                <w:sz w:val="18"/>
              </w:rPr>
              <w:t>123.73624</w:t>
            </w:r>
          </w:p>
        </w:tc>
        <w:tc>
          <w:tcPr>
            <w:tcW w:type="dxa" w:w="1728"/>
          </w:tcPr>
          <w:p>
            <w:r>
              <w:rPr>
                <w:sz w:val="18"/>
              </w:rPr>
              <w:t>0.92298</w:t>
            </w:r>
          </w:p>
        </w:tc>
        <w:tc>
          <w:tcPr>
            <w:tcW w:type="dxa" w:w="1728"/>
          </w:tcPr>
          <w:p>
            <w:r>
              <w:rPr>
                <w:sz w:val="18"/>
              </w:rPr>
              <w:t>479.88923</w:t>
            </w:r>
          </w:p>
        </w:tc>
      </w:tr>
      <w:tr>
        <w:tc>
          <w:tcPr>
            <w:tcW w:type="dxa" w:w="1728"/>
          </w:tcPr>
          <w:p>
            <w:r>
              <w:rPr>
                <w:sz w:val="18"/>
              </w:rPr>
              <w:t>('XGBoost', 'MCDP: Conditional Demographic Parity')</w:t>
            </w:r>
          </w:p>
        </w:tc>
        <w:tc>
          <w:tcPr>
            <w:tcW w:type="dxa" w:w="1728"/>
          </w:tcPr>
          <w:p>
            <w:r>
              <w:rPr>
                <w:sz w:val="18"/>
              </w:rPr>
              <w:t>115.07321</w:t>
            </w:r>
          </w:p>
        </w:tc>
        <w:tc>
          <w:tcPr>
            <w:tcW w:type="dxa" w:w="1728"/>
          </w:tcPr>
          <w:p>
            <w:r>
              <w:rPr>
                <w:sz w:val="18"/>
              </w:rPr>
              <w:t>122.23212</w:t>
            </w:r>
          </w:p>
        </w:tc>
        <w:tc>
          <w:tcPr>
            <w:tcW w:type="dxa" w:w="1728"/>
          </w:tcPr>
          <w:p>
            <w:r>
              <w:rPr>
                <w:sz w:val="18"/>
              </w:rPr>
              <w:t>0.94143</w:t>
            </w:r>
          </w:p>
        </w:tc>
        <w:tc>
          <w:tcPr>
            <w:tcW w:type="dxa" w:w="1728"/>
          </w:tcPr>
          <w:p>
            <w:r>
              <w:rPr>
                <w:sz w:val="18"/>
              </w:rPr>
              <w:t>479.92484</w:t>
            </w:r>
          </w:p>
        </w:tc>
      </w:tr>
      <w:tr>
        <w:tc>
          <w:tcPr>
            <w:tcW w:type="dxa" w:w="1728"/>
          </w:tcPr>
          <w:p>
            <w:r>
              <w:rPr>
                <w:sz w:val="18"/>
              </w:rPr>
              <w:t>('XGBoost', 'MDP: Demographic Parity')</w:t>
            </w:r>
          </w:p>
        </w:tc>
        <w:tc>
          <w:tcPr>
            <w:tcW w:type="dxa" w:w="1728"/>
          </w:tcPr>
          <w:p>
            <w:r>
              <w:rPr>
                <w:sz w:val="18"/>
              </w:rPr>
              <w:t>118.65718</w:t>
            </w:r>
          </w:p>
        </w:tc>
        <w:tc>
          <w:tcPr>
            <w:tcW w:type="dxa" w:w="1728"/>
          </w:tcPr>
          <w:p>
            <w:r>
              <w:rPr>
                <w:sz w:val="18"/>
              </w:rPr>
              <w:t>116.01523</w:t>
            </w:r>
          </w:p>
        </w:tc>
        <w:tc>
          <w:tcPr>
            <w:tcW w:type="dxa" w:w="1728"/>
          </w:tcPr>
          <w:p>
            <w:r>
              <w:rPr>
                <w:sz w:val="18"/>
              </w:rPr>
              <w:t>1.02277</w:t>
            </w:r>
          </w:p>
        </w:tc>
        <w:tc>
          <w:tcPr>
            <w:tcW w:type="dxa" w:w="1728"/>
          </w:tcPr>
          <w:p>
            <w:r>
              <w:rPr>
                <w:sz w:val="18"/>
              </w:rPr>
              <w:t>488.20831</w:t>
            </w:r>
          </w:p>
        </w:tc>
      </w:tr>
      <w:tr>
        <w:tc>
          <w:tcPr>
            <w:tcW w:type="dxa" w:w="1728"/>
          </w:tcPr>
          <w:p>
            <w:r>
              <w:rPr>
                <w:sz w:val="18"/>
              </w:rPr>
              <w:t>('XGBoost', 'MU: Unawareness Model')</w:t>
            </w:r>
          </w:p>
        </w:tc>
        <w:tc>
          <w:tcPr>
            <w:tcW w:type="dxa" w:w="1728"/>
          </w:tcPr>
          <w:p>
            <w:r>
              <w:rPr>
                <w:sz w:val="18"/>
              </w:rPr>
              <w:t>114.38225</w:t>
            </w:r>
          </w:p>
        </w:tc>
        <w:tc>
          <w:tcPr>
            <w:tcW w:type="dxa" w:w="1728"/>
          </w:tcPr>
          <w:p>
            <w:r>
              <w:rPr>
                <w:sz w:val="18"/>
              </w:rPr>
              <w:t>123.43068</w:t>
            </w:r>
          </w:p>
        </w:tc>
        <w:tc>
          <w:tcPr>
            <w:tcW w:type="dxa" w:w="1728"/>
          </w:tcPr>
          <w:p>
            <w:r>
              <w:rPr>
                <w:sz w:val="18"/>
              </w:rPr>
              <w:t>0.92669</w:t>
            </w:r>
          </w:p>
        </w:tc>
        <w:tc>
          <w:tcPr>
            <w:tcW w:type="dxa" w:w="1728"/>
          </w:tcPr>
          <w:p>
            <w:r>
              <w:rPr>
                <w:sz w:val="18"/>
              </w:rPr>
              <w:t>479.48947</w:t>
            </w:r>
          </w:p>
        </w:tc>
      </w:tr>
    </w:tbl>
    <w:p/>
    <w:p>
      <w:pPr>
        <w:jc w:val="center"/>
      </w:pPr>
      <w:r>
        <w:drawing>
          <wp:inline xmlns:a="http://schemas.openxmlformats.org/drawingml/2006/main" xmlns:pic="http://schemas.openxmlformats.org/drawingml/2006/picture">
            <wp:extent cx="5400000" cy="3691139"/>
            <wp:docPr id="1" name="Picture 1"/>
            <wp:cNvGraphicFramePr>
              <a:graphicFrameLocks noChangeAspect="1"/>
            </wp:cNvGraphicFramePr>
            <a:graphic>
              <a:graphicData uri="http://schemas.openxmlformats.org/drawingml/2006/picture">
                <pic:pic>
                  <pic:nvPicPr>
                    <pic:cNvPr id="0" name="fig1_fairness_accuracy.png"/>
                    <pic:cNvPicPr/>
                  </pic:nvPicPr>
                  <pic:blipFill>
                    <a:blip r:embed="rId9"/>
                    <a:stretch>
                      <a:fillRect/>
                    </a:stretch>
                  </pic:blipFill>
                  <pic:spPr>
                    <a:xfrm>
                      <a:off x="0" y="0"/>
                      <a:ext cx="5400000" cy="3691139"/>
                    </a:xfrm>
                    <a:prstGeom prst="rect"/>
                  </pic:spPr>
                </pic:pic>
              </a:graphicData>
            </a:graphic>
          </wp:inline>
        </w:drawing>
      </w:r>
    </w:p>
    <w:p>
      <w:pPr>
        <w:jc w:val="center"/>
      </w:pPr>
      <w:r>
        <w:rPr>
          <w:i/>
          <w:sz w:val="18"/>
        </w:rPr>
        <w:t>图1   GLM 与 XGBoost 定价模型间的公平性—准确性比较</w:t>
      </w:r>
    </w:p>
    <w:p>
      <w:pPr>
        <w:pStyle w:val="Heading2"/>
      </w:pPr>
      <w:r>
        <w:rPr>
          <w:rFonts w:ascii="Times New Roman" w:hAnsi="Times New Roman" w:eastAsia="黑体"/>
          <w:color w:val="000000"/>
        </w:rPr>
        <w:t>问题1 — MDP 的 lambda 扫描</w:t>
      </w:r>
    </w:p>
    <w:p>
      <w:r>
        <w:rPr>
          <w:b w:val="0"/>
          <w:sz w:val="22"/>
        </w:rPr>
        <w:t>（a）实现。lambda 是差异性影响消除器的去偏强度旋钮：lambda=0 精确等价于 MU（不去偏），lambda=1 等价于讲义 MDP，中间取值是讲义未计算的部分修正 MDP。对 lambda ∈ {0, 0.25, 0.5, 0.75, 1}，将全部六个预测变量（Age.ct、Bonus、Value、Density、GroupOne、Insurancescore）视为非合法变量去偏，重新拟合 GLM（Poisson 频率 + Gamma 严重程度），计算差异性影响比率（DIR = 男性平均保费 / 女性平均保费）与 RMSE。核心代码：</w:t>
      </w:r>
    </w:p>
    <w:p>
      <w:pPr>
        <w:spacing w:after="0"/>
        <w:ind w:left="283"/>
      </w:pPr>
      <w:r>
        <w:rPr>
          <w:rFonts w:ascii="Consolas" w:hAnsi="Consolas" w:eastAsia="宋体"/>
          <w:sz w:val="17"/>
        </w:rPr>
        <w:t>for lam in [0.0, 0.25, 0.5, 0.75, 1.0]:</w:t>
      </w:r>
    </w:p>
    <w:p>
      <w:pPr>
        <w:spacing w:after="0"/>
        <w:ind w:left="283"/>
      </w:pPr>
      <w:r>
        <w:rPr>
          <w:rFonts w:ascii="Consolas" w:hAnsi="Consolas" w:eastAsia="宋体"/>
          <w:sz w:val="17"/>
        </w:rPr>
        <w:t xml:space="preserve">    debiased = make_di_removed_data(ClaimsData, ALL_VARS, lambda_=lam)  # 全部变量去偏</w:t>
      </w:r>
    </w:p>
    <w:p>
      <w:pPr>
        <w:spacing w:after="0"/>
        <w:ind w:left="283"/>
      </w:pPr>
      <w:r>
        <w:rPr>
          <w:rFonts w:ascii="Consolas" w:hAnsi="Consolas" w:eastAsia="宋体"/>
          <w:sz w:val="17"/>
        </w:rPr>
        <w:t xml:space="preserve">    freq, sev = fit_glm_pair(debiased, debiased_rd, with_gender=False)  # 重拟合 GLM</w:t>
      </w:r>
    </w:p>
    <w:p>
      <w:pPr>
        <w:spacing w:after="0"/>
        <w:ind w:left="283"/>
      </w:pPr>
      <w:r>
        <w:rPr>
          <w:rFonts w:ascii="Consolas" w:hAnsi="Consolas" w:eastAsia="宋体"/>
          <w:sz w:val="17"/>
        </w:rPr>
        <w:t xml:space="preserve">    prem = predict_glm_premiums(debiased, freq, sev, with_gender=False) # 纯保费预测</w:t>
      </w:r>
    </w:p>
    <w:p>
      <w:pPr>
        <w:spacing w:after="0"/>
        <w:ind w:left="283"/>
      </w:pPr>
      <w:r>
        <w:rPr>
          <w:rFonts w:ascii="Consolas" w:hAnsi="Consolas" w:eastAsia="宋体"/>
          <w:sz w:val="17"/>
        </w:rPr>
        <w:t xml:space="preserve">    DIR = prem[male].mean() / prem[female].mean()</w:t>
      </w:r>
    </w:p>
    <w:p>
      <w:pPr>
        <w:spacing w:after="0"/>
        <w:ind w:left="283"/>
      </w:pPr>
      <w:r>
        <w:rPr>
          <w:rFonts w:ascii="Consolas" w:hAnsi="Consolas" w:eastAsia="宋体"/>
          <w:sz w:val="17"/>
        </w:rPr>
        <w:t xml:space="preserve">    RMSE = sqrt(mean((realclaim - prem)**2))</w:t>
      </w:r>
    </w:p>
    <w:p>
      <w:pPr>
        <w:jc w:val="center"/>
      </w:pPr>
      <w:r>
        <w:rPr>
          <w:b/>
          <w:sz w:val="20"/>
        </w:rPr>
        <w:t>表3  问题1：五组 (lambda, DIR, RMSE) 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DIR</w:t>
            </w:r>
          </w:p>
        </w:tc>
        <w:tc>
          <w:tcPr>
            <w:tcW w:type="dxa" w:w="1728"/>
          </w:tcPr>
          <w:p>
            <w:r>
              <w:rPr>
                <w:sz w:val="18"/>
              </w:rPr>
              <w:t>RMSE</w:t>
            </w:r>
          </w:p>
        </w:tc>
        <w:tc>
          <w:tcPr>
            <w:tcW w:type="dxa" w:w="1728"/>
          </w:tcPr>
          <w:p>
            <w:r>
              <w:rPr>
                <w:sz w:val="18"/>
              </w:rPr>
              <w:t>male_mean</w:t>
            </w:r>
          </w:p>
        </w:tc>
        <w:tc>
          <w:tcPr>
            <w:tcW w:type="dxa" w:w="1728"/>
          </w:tcPr>
          <w:p>
            <w:r>
              <w:rPr>
                <w:sz w:val="18"/>
              </w:rPr>
              <w:t>female_mean</w:t>
            </w:r>
          </w:p>
        </w:tc>
      </w:tr>
      <w:tr>
        <w:tc>
          <w:tcPr>
            <w:tcW w:type="dxa" w:w="1728"/>
          </w:tcPr>
          <w:p>
            <w:r>
              <w:rPr>
                <w:sz w:val="18"/>
              </w:rPr>
              <w:t>0.0</w:t>
            </w:r>
          </w:p>
        </w:tc>
        <w:tc>
          <w:tcPr>
            <w:tcW w:type="dxa" w:w="1728"/>
          </w:tcPr>
          <w:p>
            <w:r>
              <w:rPr>
                <w:sz w:val="18"/>
              </w:rPr>
              <w:t>0.9384</w:t>
            </w:r>
          </w:p>
        </w:tc>
        <w:tc>
          <w:tcPr>
            <w:tcW w:type="dxa" w:w="1728"/>
          </w:tcPr>
          <w:p>
            <w:r>
              <w:rPr>
                <w:sz w:val="18"/>
              </w:rPr>
              <w:t>492.4472</w:t>
            </w:r>
          </w:p>
        </w:tc>
        <w:tc>
          <w:tcPr>
            <w:tcW w:type="dxa" w:w="1728"/>
          </w:tcPr>
          <w:p>
            <w:r>
              <w:rPr>
                <w:sz w:val="18"/>
              </w:rPr>
              <w:t>114.8748</w:t>
            </w:r>
          </w:p>
        </w:tc>
        <w:tc>
          <w:tcPr>
            <w:tcW w:type="dxa" w:w="1728"/>
          </w:tcPr>
          <w:p>
            <w:r>
              <w:rPr>
                <w:sz w:val="18"/>
              </w:rPr>
              <w:t>122.4172</w:t>
            </w:r>
          </w:p>
        </w:tc>
      </w:tr>
      <w:tr>
        <w:tc>
          <w:tcPr>
            <w:tcW w:type="dxa" w:w="1728"/>
          </w:tcPr>
          <w:p>
            <w:r>
              <w:rPr>
                <w:sz w:val="18"/>
              </w:rPr>
              <w:t>0.25</w:t>
            </w:r>
          </w:p>
        </w:tc>
        <w:tc>
          <w:tcPr>
            <w:tcW w:type="dxa" w:w="1728"/>
          </w:tcPr>
          <w:p>
            <w:r>
              <w:rPr>
                <w:sz w:val="18"/>
              </w:rPr>
              <w:t>0.9594</w:t>
            </w:r>
          </w:p>
        </w:tc>
        <w:tc>
          <w:tcPr>
            <w:tcW w:type="dxa" w:w="1728"/>
          </w:tcPr>
          <w:p>
            <w:r>
              <w:rPr>
                <w:sz w:val="18"/>
              </w:rPr>
              <w:t>493.0081</w:t>
            </w:r>
          </w:p>
        </w:tc>
        <w:tc>
          <w:tcPr>
            <w:tcW w:type="dxa" w:w="1728"/>
          </w:tcPr>
          <w:p>
            <w:r>
              <w:rPr>
                <w:sz w:val="18"/>
              </w:rPr>
              <w:t>115.7208</w:t>
            </w:r>
          </w:p>
        </w:tc>
        <w:tc>
          <w:tcPr>
            <w:tcW w:type="dxa" w:w="1728"/>
          </w:tcPr>
          <w:p>
            <w:r>
              <w:rPr>
                <w:sz w:val="18"/>
              </w:rPr>
              <w:t>120.6129</w:t>
            </w:r>
          </w:p>
        </w:tc>
      </w:tr>
      <w:tr>
        <w:tc>
          <w:tcPr>
            <w:tcW w:type="dxa" w:w="1728"/>
          </w:tcPr>
          <w:p>
            <w:r>
              <w:rPr>
                <w:sz w:val="18"/>
              </w:rPr>
              <w:t>0.5</w:t>
            </w:r>
          </w:p>
        </w:tc>
        <w:tc>
          <w:tcPr>
            <w:tcW w:type="dxa" w:w="1728"/>
          </w:tcPr>
          <w:p>
            <w:r>
              <w:rPr>
                <w:sz w:val="18"/>
              </w:rPr>
              <w:t>0.9777</w:t>
            </w:r>
          </w:p>
        </w:tc>
        <w:tc>
          <w:tcPr>
            <w:tcW w:type="dxa" w:w="1728"/>
          </w:tcPr>
          <w:p>
            <w:r>
              <w:rPr>
                <w:sz w:val="18"/>
              </w:rPr>
              <w:t>492.1272</w:t>
            </w:r>
          </w:p>
        </w:tc>
        <w:tc>
          <w:tcPr>
            <w:tcW w:type="dxa" w:w="1728"/>
          </w:tcPr>
          <w:p>
            <w:r>
              <w:rPr>
                <w:sz w:val="18"/>
              </w:rPr>
              <w:t>116.6337</w:t>
            </w:r>
          </w:p>
        </w:tc>
        <w:tc>
          <w:tcPr>
            <w:tcW w:type="dxa" w:w="1728"/>
          </w:tcPr>
          <w:p>
            <w:r>
              <w:rPr>
                <w:sz w:val="18"/>
              </w:rPr>
              <w:t>119.2937</w:t>
            </w:r>
          </w:p>
        </w:tc>
      </w:tr>
      <w:tr>
        <w:tc>
          <w:tcPr>
            <w:tcW w:type="dxa" w:w="1728"/>
          </w:tcPr>
          <w:p>
            <w:r>
              <w:rPr>
                <w:sz w:val="18"/>
              </w:rPr>
              <w:t>0.75</w:t>
            </w:r>
          </w:p>
        </w:tc>
        <w:tc>
          <w:tcPr>
            <w:tcW w:type="dxa" w:w="1728"/>
          </w:tcPr>
          <w:p>
            <w:r>
              <w:rPr>
                <w:sz w:val="18"/>
              </w:rPr>
              <w:t>0.9877</w:t>
            </w:r>
          </w:p>
        </w:tc>
        <w:tc>
          <w:tcPr>
            <w:tcW w:type="dxa" w:w="1728"/>
          </w:tcPr>
          <w:p>
            <w:r>
              <w:rPr>
                <w:sz w:val="18"/>
              </w:rPr>
              <w:t>492.6158</w:t>
            </w:r>
          </w:p>
        </w:tc>
        <w:tc>
          <w:tcPr>
            <w:tcW w:type="dxa" w:w="1728"/>
          </w:tcPr>
          <w:p>
            <w:r>
              <w:rPr>
                <w:sz w:val="18"/>
              </w:rPr>
              <w:t>117.1840</w:t>
            </w:r>
          </w:p>
        </w:tc>
        <w:tc>
          <w:tcPr>
            <w:tcW w:type="dxa" w:w="1728"/>
          </w:tcPr>
          <w:p>
            <w:r>
              <w:rPr>
                <w:sz w:val="18"/>
              </w:rPr>
              <w:t>118.6428</w:t>
            </w:r>
          </w:p>
        </w:tc>
      </w:tr>
      <w:tr>
        <w:tc>
          <w:tcPr>
            <w:tcW w:type="dxa" w:w="1728"/>
          </w:tcPr>
          <w:p>
            <w:r>
              <w:rPr>
                <w:sz w:val="18"/>
              </w:rPr>
              <w:t>1.0</w:t>
            </w:r>
          </w:p>
        </w:tc>
        <w:tc>
          <w:tcPr>
            <w:tcW w:type="dxa" w:w="1728"/>
          </w:tcPr>
          <w:p>
            <w:r>
              <w:rPr>
                <w:sz w:val="18"/>
              </w:rPr>
              <w:t>1.0068</w:t>
            </w:r>
          </w:p>
        </w:tc>
        <w:tc>
          <w:tcPr>
            <w:tcW w:type="dxa" w:w="1728"/>
          </w:tcPr>
          <w:p>
            <w:r>
              <w:rPr>
                <w:sz w:val="18"/>
              </w:rPr>
              <w:t>493.1732</w:t>
            </w:r>
          </w:p>
        </w:tc>
        <w:tc>
          <w:tcPr>
            <w:tcW w:type="dxa" w:w="1728"/>
          </w:tcPr>
          <w:p>
            <w:r>
              <w:rPr>
                <w:sz w:val="18"/>
              </w:rPr>
              <w:t>118.0457</w:t>
            </w:r>
          </w:p>
        </w:tc>
        <w:tc>
          <w:tcPr>
            <w:tcW w:type="dxa" w:w="1728"/>
          </w:tcPr>
          <w:p>
            <w:r>
              <w:rPr>
                <w:sz w:val="18"/>
              </w:rPr>
              <w:t>117.2514</w:t>
            </w:r>
          </w:p>
        </w:tc>
      </w:tr>
    </w:tbl>
    <w:p/>
    <w:p>
      <w:pPr>
        <w:jc w:val="center"/>
      </w:pPr>
      <w:r>
        <w:drawing>
          <wp:inline xmlns:a="http://schemas.openxmlformats.org/drawingml/2006/main" xmlns:pic="http://schemas.openxmlformats.org/drawingml/2006/picture">
            <wp:extent cx="5400000" cy="2210894"/>
            <wp:docPr id="2" name="Picture 2"/>
            <wp:cNvGraphicFramePr>
              <a:graphicFrameLocks noChangeAspect="1"/>
            </wp:cNvGraphicFramePr>
            <a:graphic>
              <a:graphicData uri="http://schemas.openxmlformats.org/drawingml/2006/picture">
                <pic:pic>
                  <pic:nvPicPr>
                    <pic:cNvPr id="0" name="fig2_lambda_scan.png"/>
                    <pic:cNvPicPr/>
                  </pic:nvPicPr>
                  <pic:blipFill>
                    <a:blip r:embed="rId10"/>
                    <a:stretch>
                      <a:fillRect/>
                    </a:stretch>
                  </pic:blipFill>
                  <pic:spPr>
                    <a:xfrm>
                      <a:off x="0" y="0"/>
                      <a:ext cx="5400000" cy="2210894"/>
                    </a:xfrm>
                    <a:prstGeom prst="rect"/>
                  </pic:spPr>
                </pic:pic>
              </a:graphicData>
            </a:graphic>
          </wp:inline>
        </w:drawing>
      </w:r>
    </w:p>
    <w:p>
      <w:pPr>
        <w:jc w:val="center"/>
      </w:pPr>
      <w:r>
        <w:rPr>
          <w:i/>
          <w:sz w:val="18"/>
        </w:rPr>
        <w:t>图2   DIR 与 RMSE 随 lambda 变化的折线</w:t>
      </w:r>
    </w:p>
    <w:p>
      <w:pPr>
        <w:jc w:val="center"/>
      </w:pPr>
      <w:r>
        <w:drawing>
          <wp:inline xmlns:a="http://schemas.openxmlformats.org/drawingml/2006/main" xmlns:pic="http://schemas.openxmlformats.org/drawingml/2006/picture">
            <wp:extent cx="4320000" cy="3385075"/>
            <wp:docPr id="3" name="Picture 3"/>
            <wp:cNvGraphicFramePr>
              <a:graphicFrameLocks noChangeAspect="1"/>
            </wp:cNvGraphicFramePr>
            <a:graphic>
              <a:graphicData uri="http://schemas.openxmlformats.org/drawingml/2006/picture">
                <pic:pic>
                  <pic:nvPicPr>
                    <pic:cNvPr id="0" name="fig2b_lambda_fairness_acc.png"/>
                    <pic:cNvPicPr/>
                  </pic:nvPicPr>
                  <pic:blipFill>
                    <a:blip r:embed="rId11"/>
                    <a:stretch>
                      <a:fillRect/>
                    </a:stretch>
                  </pic:blipFill>
                  <pic:spPr>
                    <a:xfrm>
                      <a:off x="0" y="0"/>
                      <a:ext cx="4320000" cy="3385075"/>
                    </a:xfrm>
                    <a:prstGeom prst="rect"/>
                  </pic:spPr>
                </pic:pic>
              </a:graphicData>
            </a:graphic>
          </wp:inline>
        </w:drawing>
      </w:r>
    </w:p>
    <w:p>
      <w:pPr>
        <w:jc w:val="center"/>
      </w:pPr>
      <w:r>
        <w:rPr>
          <w:i/>
          <w:sz w:val="18"/>
        </w:rPr>
        <w:t>图3   公平性—准确性散点（每个点标注 lambda）</w:t>
      </w:r>
    </w:p>
    <w:p>
      <w:r>
        <w:rPr>
          <w:b w:val="0"/>
          <w:sz w:val="22"/>
        </w:rPr>
        <w:t>（c）解读。随着 lambda 从 0 增大到 1，DIR 从 0.938 单调上升至 1.007，越来越接近完全公平（DIR=1）；与此同时 RMSE 几乎水平（492.1–493.2，极差约 1），并未出现准确性显著恶化的现象。因此本数据上的规律是：以可忽略的准确性代价换取公平性提升，而非标准的公平性—准确性权衡曲线。这与讲义的关键发现一致（公平性的代价比通常设想的要小）。两点补充：其一，lambda=0 的 DIR=0.938 与纯 MU（0.919）略有差异，原因是去偏流程自带的 jitter 噪声与分桶（pigeonholing）效应会轻微改变分布（fairmodels 文档亦明确说明）；其二，RMSE 的微小波动（约 ±1）远小于模型间差异量级，可视为数值噪声，结论稳健。</w:t>
      </w:r>
    </w:p>
    <w:p>
      <w:pPr>
        <w:pStyle w:val="Heading2"/>
      </w:pPr>
      <w:r>
        <w:rPr>
          <w:rFonts w:ascii="Times New Roman" w:hAnsi="Times New Roman" w:eastAsia="黑体"/>
          <w:color w:val="000000"/>
        </w:rPr>
        <w:t>问题2 — 对另一个变量去偏</w:t>
      </w:r>
    </w:p>
    <w:p>
      <w:r>
        <w:rPr>
          <w:b w:val="0"/>
          <w:sz w:val="22"/>
        </w:rPr>
        <w:t>（a）实现方案。沿用 MCDP 的模式：仅对讲义从未去偏过的合法变量 Density 去偏（lambda=1），保持 Insurancescore 及其余所有预测变量不变，然后重新拟合 GLM 并计算 DIR 与 RMSE。在代码上只需把 make_di_removed_data() 的 features_to_transform 参数改为 [Density]。</w:t>
      </w:r>
    </w:p>
    <w:p>
      <w:pPr>
        <w:spacing w:after="0"/>
        <w:ind w:left="283"/>
      </w:pPr>
      <w:r>
        <w:rPr>
          <w:rFonts w:ascii="Consolas" w:hAnsi="Consolas" w:eastAsia="宋体"/>
          <w:sz w:val="17"/>
        </w:rPr>
        <w:t>deb_density = make_di_removed_data(ClaimsData, ["Density"], lambda_=1.0)</w:t>
      </w:r>
    </w:p>
    <w:p>
      <w:pPr>
        <w:spacing w:after="0"/>
        <w:ind w:left="283"/>
      </w:pPr>
      <w:r>
        <w:rPr>
          <w:rFonts w:ascii="Consolas" w:hAnsi="Consolas" w:eastAsia="宋体"/>
          <w:sz w:val="17"/>
        </w:rPr>
        <w:t>freq, sev   = fit_glm_pair(deb_density, deb_density_rd, with_gender=False)</w:t>
      </w:r>
    </w:p>
    <w:p>
      <w:pPr>
        <w:spacing w:after="0"/>
        <w:ind w:left="283"/>
      </w:pPr>
      <w:r>
        <w:rPr>
          <w:rFonts w:ascii="Consolas" w:hAnsi="Consolas" w:eastAsia="宋体"/>
          <w:sz w:val="17"/>
        </w:rPr>
        <w:t>prem        = predict_glm_premiums(deb_density, freq, sev, with_gender=False)</w:t>
      </w:r>
    </w:p>
    <w:p>
      <w:pPr>
        <w:spacing w:after="0"/>
        <w:ind w:left="283"/>
      </w:pPr>
      <w:r>
        <w:rPr>
          <w:rFonts w:ascii="Consolas" w:hAnsi="Consolas" w:eastAsia="宋体"/>
          <w:sz w:val="17"/>
        </w:rPr>
        <w:t>DIR, RMSE   = ...  # 同问题1</w:t>
      </w:r>
    </w:p>
    <w:p>
      <w:r>
        <w:rPr>
          <w:b w:val="0"/>
          <w:sz w:val="22"/>
        </w:rPr>
        <w:t>（b）结果。</w:t>
      </w:r>
    </w:p>
    <w:p>
      <w:pPr>
        <w:jc w:val="center"/>
      </w:pPr>
      <w:r>
        <w:rPr>
          <w:b/>
          <w:sz w:val="20"/>
        </w:rPr>
        <w:t>表4  问题2：仅对 Density 去偏与各对照方案的 DIR/RMSE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DIR</w:t>
            </w:r>
          </w:p>
        </w:tc>
        <w:tc>
          <w:tcPr>
            <w:tcW w:type="dxa" w:w="2880"/>
          </w:tcPr>
          <w:p>
            <w:r>
              <w:rPr>
                <w:sz w:val="18"/>
              </w:rPr>
              <w:t>RMSE</w:t>
            </w:r>
          </w:p>
        </w:tc>
      </w:tr>
      <w:tr>
        <w:tc>
          <w:tcPr>
            <w:tcW w:type="dxa" w:w="2880"/>
          </w:tcPr>
          <w:p>
            <w:r>
              <w:rPr>
                <w:sz w:val="18"/>
              </w:rPr>
              <w:t>MU（问题1 lambda=0）</w:t>
            </w:r>
          </w:p>
        </w:tc>
        <w:tc>
          <w:tcPr>
            <w:tcW w:type="dxa" w:w="2880"/>
          </w:tcPr>
          <w:p>
            <w:r>
              <w:rPr>
                <w:sz w:val="18"/>
              </w:rPr>
              <w:t>0.9384</w:t>
            </w:r>
          </w:p>
        </w:tc>
        <w:tc>
          <w:tcPr>
            <w:tcW w:type="dxa" w:w="2880"/>
          </w:tcPr>
          <w:p>
            <w:r>
              <w:rPr>
                <w:sz w:val="18"/>
              </w:rPr>
              <w:t>492.4472</w:t>
            </w:r>
          </w:p>
        </w:tc>
      </w:tr>
      <w:tr>
        <w:tc>
          <w:tcPr>
            <w:tcW w:type="dxa" w:w="2880"/>
          </w:tcPr>
          <w:p>
            <w:r>
              <w:rPr>
                <w:sz w:val="18"/>
              </w:rPr>
              <w:t>仅去偏 Density（lambda=1）</w:t>
            </w:r>
          </w:p>
        </w:tc>
        <w:tc>
          <w:tcPr>
            <w:tcW w:type="dxa" w:w="2880"/>
          </w:tcPr>
          <w:p>
            <w:r>
              <w:rPr>
                <w:sz w:val="18"/>
              </w:rPr>
              <w:t>0.9311</w:t>
            </w:r>
          </w:p>
        </w:tc>
        <w:tc>
          <w:tcPr>
            <w:tcW w:type="dxa" w:w="2880"/>
          </w:tcPr>
          <w:p>
            <w:r>
              <w:rPr>
                <w:sz w:val="18"/>
              </w:rPr>
              <w:t>492.9986</w:t>
            </w:r>
          </w:p>
        </w:tc>
      </w:tr>
      <w:tr>
        <w:tc>
          <w:tcPr>
            <w:tcW w:type="dxa" w:w="2880"/>
          </w:tcPr>
          <w:p>
            <w:r>
              <w:rPr>
                <w:sz w:val="18"/>
              </w:rPr>
              <w:t>MCDP（讲义，仅去偏 Insurancescore）</w:t>
            </w:r>
          </w:p>
        </w:tc>
        <w:tc>
          <w:tcPr>
            <w:tcW w:type="dxa" w:w="2880"/>
          </w:tcPr>
          <w:p>
            <w:r>
              <w:rPr>
                <w:sz w:val="18"/>
              </w:rPr>
              <w:t>0.9569</w:t>
            </w:r>
          </w:p>
        </w:tc>
        <w:tc>
          <w:tcPr>
            <w:tcW w:type="dxa" w:w="2880"/>
          </w:tcPr>
          <w:p>
            <w:r>
              <w:rPr>
                <w:sz w:val="18"/>
              </w:rPr>
              <w:t>492.9952</w:t>
            </w:r>
          </w:p>
        </w:tc>
      </w:tr>
      <w:tr>
        <w:tc>
          <w:tcPr>
            <w:tcW w:type="dxa" w:w="2880"/>
          </w:tcPr>
          <w:p>
            <w:r>
              <w:rPr>
                <w:sz w:val="18"/>
              </w:rPr>
              <w:t>MDP（lambda=1，全变量）</w:t>
            </w:r>
          </w:p>
        </w:tc>
        <w:tc>
          <w:tcPr>
            <w:tcW w:type="dxa" w:w="2880"/>
          </w:tcPr>
          <w:p>
            <w:r>
              <w:rPr>
                <w:sz w:val="18"/>
              </w:rPr>
              <w:t>1.0068</w:t>
            </w:r>
          </w:p>
        </w:tc>
        <w:tc>
          <w:tcPr>
            <w:tcW w:type="dxa" w:w="2880"/>
          </w:tcPr>
          <w:p>
            <w:r>
              <w:rPr>
                <w:sz w:val="18"/>
              </w:rPr>
              <w:t>493.1732</w:t>
            </w:r>
          </w:p>
        </w:tc>
      </w:tr>
    </w:tbl>
    <w:p/>
    <w:p>
      <w:pPr>
        <w:jc w:val="center"/>
      </w:pPr>
      <w:r>
        <w:drawing>
          <wp:inline xmlns:a="http://schemas.openxmlformats.org/drawingml/2006/main" xmlns:pic="http://schemas.openxmlformats.org/drawingml/2006/picture">
            <wp:extent cx="5400000" cy="2669663"/>
            <wp:docPr id="4" name="Picture 4"/>
            <wp:cNvGraphicFramePr>
              <a:graphicFrameLocks noChangeAspect="1"/>
            </wp:cNvGraphicFramePr>
            <a:graphic>
              <a:graphicData uri="http://schemas.openxmlformats.org/drawingml/2006/picture">
                <pic:pic>
                  <pic:nvPicPr>
                    <pic:cNvPr id="0" name="fig4_debias_comparison.png"/>
                    <pic:cNvPicPr/>
                  </pic:nvPicPr>
                  <pic:blipFill>
                    <a:blip r:embed="rId12"/>
                    <a:stretch>
                      <a:fillRect/>
                    </a:stretch>
                  </pic:blipFill>
                  <pic:spPr>
                    <a:xfrm>
                      <a:off x="0" y="0"/>
                      <a:ext cx="5400000" cy="2669663"/>
                    </a:xfrm>
                    <a:prstGeom prst="rect"/>
                  </pic:spPr>
                </pic:pic>
              </a:graphicData>
            </a:graphic>
          </wp:inline>
        </w:drawing>
      </w:r>
    </w:p>
    <w:p>
      <w:pPr>
        <w:jc w:val="center"/>
      </w:pPr>
      <w:r>
        <w:rPr>
          <w:i/>
          <w:sz w:val="18"/>
        </w:rPr>
        <w:t>图4   各去偏方案的 DIR 对比</w:t>
      </w:r>
    </w:p>
    <w:p>
      <w:r>
        <w:rPr>
          <w:b w:val="0"/>
          <w:sz w:val="22"/>
        </w:rPr>
        <w:t>（c）结果分析。仅对 Density 去偏后 DIR=0.931，与 MU（0.938）几乎相同，差异程度基本未被改变；RMSE 亦几乎不变（493.0 vs 492.4）。对照 MCDP（仅去偏 Insurancescore）DIR=0.957 更接近 1，全变量 MDP 则达到 1.007。原因结合第二章的代理变量概念：Density（居住密度）与受保护属性 Gender 的相关性很弱，并非性别信息的代理通道，去除其与 Gender 的关联对保费在两性间的再分配几乎没有影响；而 Insurancescore 作为信用评分代理（由类型、类别、职业、地区和年龄构建），与 Gender 高度相关，是性别差异进入模型的主要通道，因此对它去偏才能有效削弱代理性歧视。结论：去偏的效果取决于该变量与受保护属性的相关强度，而非机械地对任意变量去偏都有效。</w:t>
      </w:r>
    </w:p>
    <w:p>
      <w:pPr>
        <w:pStyle w:val="Heading2"/>
      </w:pPr>
      <w:r>
        <w:rPr>
          <w:rFonts w:ascii="Times New Roman" w:hAnsi="Times New Roman" w:eastAsia="黑体"/>
          <w:color w:val="000000"/>
        </w:rPr>
        <w:t>问题3 — 为何仅靠无意识是不够的</w:t>
      </w:r>
    </w:p>
    <w:p>
      <w:r>
        <w:rPr>
          <w:b w:val="0"/>
          <w:sz w:val="22"/>
        </w:rPr>
        <w:t>（a）利用讲义平均保费表计算 M0 与 MU 的 DIR（= 男性平均保费 / 女性平均保费）：</w:t>
      </w:r>
    </w:p>
    <w:p>
      <w:pPr>
        <w:jc w:val="center"/>
      </w:pPr>
      <w:r>
        <w:rPr>
          <w:b/>
          <w:sz w:val="20"/>
        </w:rPr>
        <w:t>表5  讲义平均保费表下 M0/MU 的 DIR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p>
        </w:tc>
        <w:tc>
          <w:tcPr>
            <w:tcW w:type="dxa" w:w="2160"/>
          </w:tcPr>
          <w:p>
            <w:r>
              <w:rPr>
                <w:sz w:val="18"/>
              </w:rPr>
              <w:t>男性保费</w:t>
            </w:r>
          </w:p>
        </w:tc>
        <w:tc>
          <w:tcPr>
            <w:tcW w:type="dxa" w:w="2160"/>
          </w:tcPr>
          <w:p>
            <w:r>
              <w:rPr>
                <w:sz w:val="18"/>
              </w:rPr>
              <w:t>女性保费</w:t>
            </w:r>
          </w:p>
        </w:tc>
        <w:tc>
          <w:tcPr>
            <w:tcW w:type="dxa" w:w="2160"/>
          </w:tcPr>
          <w:p>
            <w:r>
              <w:rPr>
                <w:sz w:val="18"/>
              </w:rPr>
              <w:t>DIR</w:t>
            </w:r>
          </w:p>
        </w:tc>
      </w:tr>
      <w:tr>
        <w:tc>
          <w:tcPr>
            <w:tcW w:type="dxa" w:w="2160"/>
          </w:tcPr>
          <w:p>
            <w:r>
              <w:rPr>
                <w:sz w:val="18"/>
              </w:rPr>
              <w:t>('GLM', 'M0')</w:t>
            </w:r>
          </w:p>
        </w:tc>
        <w:tc>
          <w:tcPr>
            <w:tcW w:type="dxa" w:w="2160"/>
          </w:tcPr>
          <w:p>
            <w:r>
              <w:rPr>
                <w:sz w:val="18"/>
              </w:rPr>
              <w:t>130.470</w:t>
            </w:r>
          </w:p>
        </w:tc>
        <w:tc>
          <w:tcPr>
            <w:tcW w:type="dxa" w:w="2160"/>
          </w:tcPr>
          <w:p>
            <w:r>
              <w:rPr>
                <w:sz w:val="18"/>
              </w:rPr>
              <w:t>95.660</w:t>
            </w:r>
          </w:p>
        </w:tc>
        <w:tc>
          <w:tcPr>
            <w:tcW w:type="dxa" w:w="2160"/>
          </w:tcPr>
          <w:p>
            <w:r>
              <w:rPr>
                <w:sz w:val="18"/>
              </w:rPr>
              <w:t>1.364</w:t>
            </w:r>
          </w:p>
        </w:tc>
      </w:tr>
      <w:tr>
        <w:tc>
          <w:tcPr>
            <w:tcW w:type="dxa" w:w="2160"/>
          </w:tcPr>
          <w:p>
            <w:r>
              <w:rPr>
                <w:sz w:val="18"/>
              </w:rPr>
              <w:t>('GLM', 'MU')</w:t>
            </w:r>
          </w:p>
        </w:tc>
        <w:tc>
          <w:tcPr>
            <w:tcW w:type="dxa" w:w="2160"/>
          </w:tcPr>
          <w:p>
            <w:r>
              <w:rPr>
                <w:sz w:val="18"/>
              </w:rPr>
              <w:t>114.030</w:t>
            </w:r>
          </w:p>
        </w:tc>
        <w:tc>
          <w:tcPr>
            <w:tcW w:type="dxa" w:w="2160"/>
          </w:tcPr>
          <w:p>
            <w:r>
              <w:rPr>
                <w:sz w:val="18"/>
              </w:rPr>
              <w:t>124.050</w:t>
            </w:r>
          </w:p>
        </w:tc>
        <w:tc>
          <w:tcPr>
            <w:tcW w:type="dxa" w:w="2160"/>
          </w:tcPr>
          <w:p>
            <w:r>
              <w:rPr>
                <w:sz w:val="18"/>
              </w:rPr>
              <w:t>0.919</w:t>
            </w:r>
          </w:p>
        </w:tc>
      </w:tr>
      <w:tr>
        <w:tc>
          <w:tcPr>
            <w:tcW w:type="dxa" w:w="2160"/>
          </w:tcPr>
          <w:p>
            <w:r>
              <w:rPr>
                <w:sz w:val="18"/>
              </w:rPr>
              <w:t>('XGBoost', 'M0')</w:t>
            </w:r>
          </w:p>
        </w:tc>
        <w:tc>
          <w:tcPr>
            <w:tcW w:type="dxa" w:w="2160"/>
          </w:tcPr>
          <w:p>
            <w:r>
              <w:rPr>
                <w:sz w:val="18"/>
              </w:rPr>
              <w:t>130.980</w:t>
            </w:r>
          </w:p>
        </w:tc>
        <w:tc>
          <w:tcPr>
            <w:tcW w:type="dxa" w:w="2160"/>
          </w:tcPr>
          <w:p>
            <w:r>
              <w:rPr>
                <w:sz w:val="18"/>
              </w:rPr>
              <w:t>94.630</w:t>
            </w:r>
          </w:p>
        </w:tc>
        <w:tc>
          <w:tcPr>
            <w:tcW w:type="dxa" w:w="2160"/>
          </w:tcPr>
          <w:p>
            <w:r>
              <w:rPr>
                <w:sz w:val="18"/>
              </w:rPr>
              <w:t>1.384</w:t>
            </w:r>
          </w:p>
        </w:tc>
      </w:tr>
      <w:tr>
        <w:tc>
          <w:tcPr>
            <w:tcW w:type="dxa" w:w="2160"/>
          </w:tcPr>
          <w:p>
            <w:r>
              <w:rPr>
                <w:sz w:val="18"/>
              </w:rPr>
              <w:t>('XGBoost', 'MU')</w:t>
            </w:r>
          </w:p>
        </w:tc>
        <w:tc>
          <w:tcPr>
            <w:tcW w:type="dxa" w:w="2160"/>
          </w:tcPr>
          <w:p>
            <w:r>
              <w:rPr>
                <w:sz w:val="18"/>
              </w:rPr>
              <w:t>114.410</w:t>
            </w:r>
          </w:p>
        </w:tc>
        <w:tc>
          <w:tcPr>
            <w:tcW w:type="dxa" w:w="2160"/>
          </w:tcPr>
          <w:p>
            <w:r>
              <w:rPr>
                <w:sz w:val="18"/>
              </w:rPr>
              <w:t>123.390</w:t>
            </w:r>
          </w:p>
        </w:tc>
        <w:tc>
          <w:tcPr>
            <w:tcW w:type="dxa" w:w="2160"/>
          </w:tcPr>
          <w:p>
            <w:r>
              <w:rPr>
                <w:sz w:val="18"/>
              </w:rPr>
              <w:t>0.927</w:t>
            </w:r>
          </w:p>
        </w:tc>
      </w:tr>
    </w:tbl>
    <w:p/>
    <w:p>
      <w:r>
        <w:rPr>
          <w:b w:val="0"/>
          <w:sz w:val="22"/>
        </w:rPr>
        <w:t>观察：M0 中 DIR≈1.36–1.38（男性支付明显更多，超出五分之四原则区间 [0.8, 1.25]）；移除 Gender 得到 MU 后，DIR 显著下降至 0.92–0.93，明显更接近 1，但并未达到完全公平，且方向发生了反转——M0 中女性支付约少 27%，MU 中女性反而多支付约 8–9%。即谁付更多由男性变为女性。</w:t>
      </w:r>
    </w:p>
    <w:p>
      <w:r>
        <w:rPr>
          <w:b w:val="0"/>
          <w:sz w:val="22"/>
        </w:rPr>
        <w:t>（b）结合第二章的代理性歧视概念：MU 虽然不再把 Gender 作为输入，但合法变量 Insurancescore（信用评分代理，由类型、类别、职业、地区和年龄构建）仍与 Gender 相关，充当了性别的代理变量，性别差异经由该代理变量重新进入定价模型。方向反转的原因是：M0 中 Gender 系数直接抵消了代理变量携带的性别效应；一旦移除 Gender，未被抵消的代理效应便主导结果，使女性整体被系统性地高估。这正说明无意识（把受保护属性移出输入集）本身很少足够：模型表面不含受保护属性，但预测仍系统性偏离均等性，法律上构成差异性影响（disparate impact）。</w:t>
      </w:r>
    </w:p>
    <w:p>
      <w:pPr>
        <w:pStyle w:val="Heading2"/>
      </w:pPr>
      <w:r>
        <w:rPr>
          <w:rFonts w:ascii="Times New Roman" w:hAnsi="Times New Roman" w:eastAsia="黑体"/>
          <w:color w:val="000000"/>
        </w:rPr>
        <w:t>问题4 — 建议</w:t>
      </w:r>
    </w:p>
    <w:p>
      <w:r>
        <w:rPr>
          <w:b w:val="0"/>
          <w:sz w:val="22"/>
        </w:rPr>
        <w:t>基于问题1与问题2的结果，我建议部署 MCDP（条件人口统计学均等性，仅对非合法变量 Insurancescore 去偏，lambda=1）。</w:t>
      </w:r>
    </w:p>
    <w:p>
      <w:r>
        <w:rPr>
          <w:b w:val="0"/>
          <w:sz w:val="22"/>
        </w:rPr>
        <w:t>论证：问题2表明去偏是否有效取决于变量是否为受保护属性的代理通道——对 Insurancescore 去偏（MCDP，DIR=0.957）能有效削弱歧视，而对与 Gender 无关的 Density 去偏则毫无效果（DIR=0.931，与 MU 相同）。MCDP 恰好只处理真正的代理通道（非合法变量 Insurancescore），保留年龄、Bonus、GroupOne、Density、Value等合法定价变量携带的风险区分信息，因此它在公平性（DIR=0.957 接近 1）与准确性（RMSE=493.0，与 MU 的 486.5 仅差约 1%）之间取得最佳平衡。这与第二章中条件人口统计学均等性的准则一致：预测应在受保护属性上独立，但在合法特征（风险因子）条件下仍可存在合理差异，符合保险监管（如欧盟统一性别定价规则）认可的合法定价差异框架。相比之下，完全 MDP（lambda=1，全变量去偏）虽然把 DIR 推到 1.007、RMSE 代价同样很小（493.2），但它把合法风险变量也一并压平，破坏了定价模型的风险区分能力与可解释性，属于矫枉过正；完全不干预的 MU 则保留了代理性歧视（DIR=0.919，女性被系统高估约 9%），面临监管风险。若监管环境要求更强的人群均等性，亦可取中等 lambda（0.5–0.75）作为折中：DIR 达 0.98–0.99，RMSE 代价仍可忽略。</w:t>
      </w:r>
    </w:p>
    <w:p>
      <w:pPr>
        <w:pStyle w:val="Heading1"/>
      </w:pPr>
      <w:r>
        <w:rPr>
          <w:rFonts w:ascii="Times New Roman" w:hAnsi="Times New Roman" w:eastAsia="黑体"/>
          <w:color w:val="000000"/>
        </w:rPr>
        <w:t>B 部分——COMPAS 分类</w:t>
      </w:r>
    </w:p>
    <w:p>
      <w:pPr>
        <w:pStyle w:val="Heading2"/>
      </w:pPr>
      <w:r>
        <w:rPr>
          <w:rFonts w:ascii="Times New Roman" w:hAnsi="Times New Roman" w:eastAsia="黑体"/>
          <w:color w:val="000000"/>
        </w:rPr>
        <w:t>数据与模型复现</w:t>
      </w:r>
    </w:p>
    <w:p>
      <w:r>
        <w:rPr>
          <w:b w:val="0"/>
          <w:sz w:val="22"/>
        </w:rPr>
        <w:t>使用 fairness 包 compas 数据集，保留两大族裔后 N=5278 名被告（白人 2103，非裔美国人 3175）。基础再犯率：白人 39.1%，非裔美国人 52.3%——这一基准率差异最终驱动了本部分几乎所有结果。预测变量为前科次数（Number_of_Priors，已标准化）、两个年龄指标（Age_Above_FourtyFive / Age_Below_TwentyFive）、性别（Female）、轻罪标志（Misdemeanor）。M0 额外加入族裔（参考水平 Caucasian），MU 移除族裔；逻辑回归以 0.5 为分界，预测再犯概率高于 0.5 即标记为高风险。</w:t>
      </w:r>
    </w:p>
    <w:p>
      <w:pPr>
        <w:jc w:val="center"/>
      </w:pPr>
      <w:r>
        <w:rPr>
          <w:b/>
          <w:sz w:val="20"/>
        </w:rPr>
        <w:t>表6  M0 / MU 的分类指标与三大准则比率（与讲义表一致）</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M0（含族裔）</w:t>
            </w:r>
          </w:p>
        </w:tc>
        <w:tc>
          <w:tcPr>
            <w:tcW w:type="dxa" w:w="2880"/>
          </w:tcPr>
          <w:p>
            <w:r>
              <w:rPr>
                <w:sz w:val="18"/>
              </w:rPr>
              <w:t>MU（无意识）</w:t>
            </w:r>
          </w:p>
        </w:tc>
      </w:tr>
      <w:tr>
        <w:tc>
          <w:tcPr>
            <w:tcW w:type="dxa" w:w="2880"/>
          </w:tcPr>
          <w:p>
            <w:r>
              <w:rPr>
                <w:sz w:val="18"/>
              </w:rPr>
              <w:t>准确率</w:t>
            </w:r>
          </w:p>
        </w:tc>
        <w:tc>
          <w:tcPr>
            <w:tcW w:type="dxa" w:w="2880"/>
          </w:tcPr>
          <w:p>
            <w:r>
              <w:rPr>
                <w:sz w:val="18"/>
              </w:rPr>
              <w:t>66.8%</w:t>
            </w:r>
          </w:p>
        </w:tc>
        <w:tc>
          <w:tcPr>
            <w:tcW w:type="dxa" w:w="2880"/>
          </w:tcPr>
          <w:p>
            <w:r>
              <w:rPr>
                <w:sz w:val="18"/>
              </w:rPr>
              <w:t>66.5%</w:t>
            </w:r>
          </w:p>
        </w:tc>
      </w:tr>
      <w:tr>
        <w:tc>
          <w:tcPr>
            <w:tcW w:type="dxa" w:w="2880"/>
          </w:tcPr>
          <w:p>
            <w:r>
              <w:rPr>
                <w:sz w:val="18"/>
              </w:rPr>
              <w:t>被标记高风险：白人</w:t>
            </w:r>
          </w:p>
        </w:tc>
        <w:tc>
          <w:tcPr>
            <w:tcW w:type="dxa" w:w="2880"/>
          </w:tcPr>
          <w:p>
            <w:r>
              <w:rPr>
                <w:sz w:val="18"/>
              </w:rPr>
              <w:t>25.1%</w:t>
            </w:r>
          </w:p>
        </w:tc>
        <w:tc>
          <w:tcPr>
            <w:tcW w:type="dxa" w:w="2880"/>
          </w:tcPr>
          <w:p>
            <w:r>
              <w:rPr>
                <w:sz w:val="18"/>
              </w:rPr>
              <w:t>26.1%</w:t>
            </w:r>
          </w:p>
        </w:tc>
      </w:tr>
      <w:tr>
        <w:tc>
          <w:tcPr>
            <w:tcW w:type="dxa" w:w="2880"/>
          </w:tcPr>
          <w:p>
            <w:r>
              <w:rPr>
                <w:sz w:val="18"/>
              </w:rPr>
              <w:t>被标记高风险：非裔</w:t>
            </w:r>
          </w:p>
        </w:tc>
        <w:tc>
          <w:tcPr>
            <w:tcW w:type="dxa" w:w="2880"/>
          </w:tcPr>
          <w:p>
            <w:r>
              <w:rPr>
                <w:sz w:val="18"/>
              </w:rPr>
              <w:t>52.9%</w:t>
            </w:r>
          </w:p>
        </w:tc>
        <w:tc>
          <w:tcPr>
            <w:tcW w:type="dxa" w:w="2880"/>
          </w:tcPr>
          <w:p>
            <w:r>
              <w:rPr>
                <w:sz w:val="18"/>
              </w:rPr>
              <w:t>50.6%</w:t>
            </w:r>
          </w:p>
        </w:tc>
      </w:tr>
      <w:tr>
        <w:tc>
          <w:tcPr>
            <w:tcW w:type="dxa" w:w="2880"/>
          </w:tcPr>
          <w:p>
            <w:r>
              <w:rPr>
                <w:sz w:val="18"/>
              </w:rPr>
              <w:t>FPR：白人/非裔</w:t>
            </w:r>
          </w:p>
        </w:tc>
        <w:tc>
          <w:tcPr>
            <w:tcW w:type="dxa" w:w="2880"/>
          </w:tcPr>
          <w:p>
            <w:r>
              <w:rPr>
                <w:sz w:val="18"/>
              </w:rPr>
              <w:t>15.9% / 35.3%</w:t>
            </w:r>
          </w:p>
        </w:tc>
        <w:tc>
          <w:tcPr>
            <w:tcW w:type="dxa" w:w="2880"/>
          </w:tcPr>
          <w:p>
            <w:r>
              <w:rPr>
                <w:sz w:val="18"/>
              </w:rPr>
              <w:t>17.2% / 33.0%</w:t>
            </w:r>
          </w:p>
        </w:tc>
      </w:tr>
      <w:tr>
        <w:tc>
          <w:tcPr>
            <w:tcW w:type="dxa" w:w="2880"/>
          </w:tcPr>
          <w:p>
            <w:r>
              <w:rPr>
                <w:sz w:val="18"/>
              </w:rPr>
              <w:t>FNR：白人/非裔</w:t>
            </w:r>
          </w:p>
        </w:tc>
        <w:tc>
          <w:tcPr>
            <w:tcW w:type="dxa" w:w="2880"/>
          </w:tcPr>
          <w:p>
            <w:r>
              <w:rPr>
                <w:sz w:val="18"/>
              </w:rPr>
              <w:t>60.7% / 31.1%</w:t>
            </w:r>
          </w:p>
        </w:tc>
        <w:tc>
          <w:tcPr>
            <w:tcW w:type="dxa" w:w="2880"/>
          </w:tcPr>
          <w:p>
            <w:r>
              <w:rPr>
                <w:sz w:val="18"/>
              </w:rPr>
              <w:t>60.0% / 33.4%</w:t>
            </w:r>
          </w:p>
        </w:tc>
      </w:tr>
      <w:tr>
        <w:tc>
          <w:tcPr>
            <w:tcW w:type="dxa" w:w="2880"/>
          </w:tcPr>
          <w:p>
            <w:r>
              <w:rPr>
                <w:sz w:val="18"/>
              </w:rPr>
              <w:t>精确率：白人/非裔</w:t>
            </w:r>
          </w:p>
        </w:tc>
        <w:tc>
          <w:tcPr>
            <w:tcW w:type="dxa" w:w="2880"/>
          </w:tcPr>
          <w:p>
            <w:r>
              <w:rPr>
                <w:sz w:val="18"/>
              </w:rPr>
              <w:t>61.3% / 68.2%</w:t>
            </w:r>
          </w:p>
        </w:tc>
        <w:tc>
          <w:tcPr>
            <w:tcW w:type="dxa" w:w="2880"/>
          </w:tcPr>
          <w:p>
            <w:r>
              <w:rPr>
                <w:sz w:val="18"/>
              </w:rPr>
              <w:t>59.9% / 68.9%</w:t>
            </w:r>
          </w:p>
        </w:tc>
      </w:tr>
      <w:tr>
        <w:tc>
          <w:tcPr>
            <w:tcW w:type="dxa" w:w="2880"/>
          </w:tcPr>
          <w:p>
            <w:r>
              <w:rPr>
                <w:sz w:val="18"/>
              </w:rPr>
              <w:t>人口统计学均等性</w:t>
            </w:r>
          </w:p>
        </w:tc>
        <w:tc>
          <w:tcPr>
            <w:tcW w:type="dxa" w:w="2880"/>
          </w:tcPr>
          <w:p>
            <w:r>
              <w:rPr>
                <w:sz w:val="18"/>
              </w:rPr>
              <w:t>2.11</w:t>
            </w:r>
          </w:p>
        </w:tc>
        <w:tc>
          <w:tcPr>
            <w:tcW w:type="dxa" w:w="2880"/>
          </w:tcPr>
          <w:p>
            <w:r>
              <w:rPr>
                <w:sz w:val="18"/>
              </w:rPr>
              <w:t>1.94</w:t>
            </w:r>
          </w:p>
        </w:tc>
      </w:tr>
      <w:tr>
        <w:tc>
          <w:tcPr>
            <w:tcW w:type="dxa" w:w="2880"/>
          </w:tcPr>
          <w:p>
            <w:r>
              <w:rPr>
                <w:sz w:val="18"/>
              </w:rPr>
              <w:t>机会均等（TPR 差距）</w:t>
            </w:r>
          </w:p>
        </w:tc>
        <w:tc>
          <w:tcPr>
            <w:tcW w:type="dxa" w:w="2880"/>
          </w:tcPr>
          <w:p>
            <w:r>
              <w:rPr>
                <w:sz w:val="18"/>
              </w:rPr>
              <w:t>1.75</w:t>
            </w:r>
          </w:p>
        </w:tc>
        <w:tc>
          <w:tcPr>
            <w:tcW w:type="dxa" w:w="2880"/>
          </w:tcPr>
          <w:p>
            <w:r>
              <w:rPr>
                <w:sz w:val="18"/>
              </w:rPr>
              <w:t>1.67</w:t>
            </w:r>
          </w:p>
        </w:tc>
      </w:tr>
      <w:tr>
        <w:tc>
          <w:tcPr>
            <w:tcW w:type="dxa" w:w="2880"/>
          </w:tcPr>
          <w:p>
            <w:r>
              <w:rPr>
                <w:sz w:val="18"/>
              </w:rPr>
              <w:t>预测率均等性</w:t>
            </w:r>
          </w:p>
        </w:tc>
        <w:tc>
          <w:tcPr>
            <w:tcW w:type="dxa" w:w="2880"/>
          </w:tcPr>
          <w:p>
            <w:r>
              <w:rPr>
                <w:sz w:val="18"/>
              </w:rPr>
              <w:t>1.11</w:t>
            </w:r>
          </w:p>
        </w:tc>
        <w:tc>
          <w:tcPr>
            <w:tcW w:type="dxa" w:w="2880"/>
          </w:tcPr>
          <w:p>
            <w:r>
              <w:rPr>
                <w:sz w:val="18"/>
              </w:rPr>
              <w:t>1.15</w:t>
            </w:r>
          </w:p>
        </w:tc>
      </w:tr>
    </w:tbl>
    <w:p/>
    <w:p>
      <w:r>
        <w:rPr>
          <w:b w:val="0"/>
          <w:sz w:val="22"/>
        </w:rPr>
        <w:t>复现结果与讲义完全一致：无意识几乎没有改变任何东西——MU 的准确率仅下降 0.3 个百分点（66.5% vs 66.8%），但所有差异比率几乎原封不动（人口统计学均等性 1.94，TPR 差距 1.67，预测率均等性 1.15），一名不会再犯的非裔被告被标记高风险的概率约为不会再犯白人的两倍（FPR：33.0% vs 17.2%），复现了 ProPublica 对真实 COMPAS 工具的核心发现。</w:t>
      </w:r>
    </w:p>
    <w:p>
      <w:pPr>
        <w:pStyle w:val="Heading2"/>
      </w:pPr>
      <w:r>
        <w:rPr>
          <w:rFonts w:ascii="Times New Roman" w:hAnsi="Times New Roman" w:eastAsia="黑体"/>
          <w:color w:val="000000"/>
        </w:rPr>
        <w:t>问题5 — 扩展 theta 扫描</w:t>
      </w:r>
    </w:p>
    <w:p>
      <w:r>
        <w:rPr>
          <w:b w:val="0"/>
          <w:sz w:val="22"/>
        </w:rPr>
        <w:t>（a）实现方案。roc_pivot（拒绝选项修正）对落在决策分界值附近、宽度为 theta 的区间内的预测做镜像翻转：优势群体（白人）中略高于分界值（被预测有利=不再犯）的个案翻转为不利，弱势群体（非裔）中略低于分界值的个案翻转为有利；区间之外的有把握预测保持不变。由于本模型中高于 0.5 意味着预测再犯（不利结果），先将模型转换为预测不再犯这一有利结果，保持白人（现状模型所偏向的群体）为优势群体，再调用 roc_pivot。对 MU 在 theta=0.25 与 0.30 下应用，并沿用讲义对 M0/MU 所用的同一套指标（准确率、人口统计学均等性、TPR 差距、预测率均等性）。核心代码：</w:t>
      </w:r>
    </w:p>
    <w:p>
      <w:pPr>
        <w:spacing w:after="0"/>
        <w:ind w:left="283"/>
      </w:pPr>
      <w:r>
        <w:rPr>
          <w:rFonts w:ascii="Consolas" w:hAnsi="Consolas" w:eastAsia="宋体"/>
          <w:sz w:val="17"/>
        </w:rPr>
        <w:t>p_norecid = 1.0 - p_recid_mu                     # 转换为预测不再犯（有利结果）</w:t>
      </w:r>
    </w:p>
    <w:p>
      <w:pPr>
        <w:spacing w:after="0"/>
        <w:ind w:left="283"/>
      </w:pPr>
      <w:r>
        <w:rPr>
          <w:rFonts w:ascii="Consolas" w:hAnsi="Consolas" w:eastAsia="宋体"/>
          <w:sz w:val="17"/>
        </w:rPr>
        <w:t>p_fixed   = roc_pivot(p_norecid, ethnicity,          # 拒绝选项修正</w:t>
      </w:r>
    </w:p>
    <w:p>
      <w:pPr>
        <w:spacing w:after="0"/>
        <w:ind w:left="283"/>
      </w:pPr>
      <w:r>
        <w:rPr>
          <w:rFonts w:ascii="Consolas" w:hAnsi="Consolas" w:eastAsia="宋体"/>
          <w:sz w:val="17"/>
        </w:rPr>
        <w:t xml:space="preserve">                      privileged="Caucasian", cutoff=0.5, theta=theta)</w:t>
      </w:r>
    </w:p>
    <w:p>
      <w:pPr>
        <w:spacing w:after="0"/>
        <w:ind w:left="283"/>
      </w:pPr>
      <w:r>
        <w:rPr>
          <w:rFonts w:ascii="Consolas" w:hAnsi="Consolas" w:eastAsia="宋体"/>
          <w:sz w:val="17"/>
        </w:rPr>
        <w:t>pred      = np.where(p_fixed &gt; 0.5, "no", "yes")     # 修正后的再犯标签</w:t>
      </w:r>
    </w:p>
    <w:p>
      <w:pPr>
        <w:spacing w:after="0"/>
        <w:ind w:left="283"/>
      </w:pPr>
      <w:r>
        <w:rPr>
          <w:rFonts w:ascii="Consolas" w:hAnsi="Consolas" w:eastAsia="宋体"/>
          <w:sz w:val="17"/>
        </w:rPr>
        <w:t># 指标：accuracy / prop_parity / equal_odds / pred_rate_parity（fairness 包同款定义）</w:t>
      </w:r>
    </w:p>
    <w:p>
      <w:r>
        <w:rPr>
          <w:b w:val="0"/>
          <w:sz w:val="22"/>
        </w:rPr>
        <w:t>（b）结果。</w:t>
      </w:r>
    </w:p>
    <w:p>
      <w:pPr>
        <w:jc w:val="center"/>
      </w:pPr>
      <w:r>
        <w:rPr>
          <w:b/>
          <w:sz w:val="20"/>
        </w:rPr>
        <w:t>表7  roc_pivot theta 扫描（0 至 0.30，0–0.20 与讲义一致，0.25/0.30 为本作业新增）</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准确率</w:t>
            </w:r>
          </w:p>
        </w:tc>
        <w:tc>
          <w:tcPr>
            <w:tcW w:type="dxa" w:w="1728"/>
          </w:tcPr>
          <w:p>
            <w:r>
              <w:rPr>
                <w:sz w:val="18"/>
              </w:rPr>
              <w:t>人口统计学均等性</w:t>
            </w:r>
          </w:p>
        </w:tc>
        <w:tc>
          <w:tcPr>
            <w:tcW w:type="dxa" w:w="1728"/>
          </w:tcPr>
          <w:p>
            <w:r>
              <w:rPr>
                <w:sz w:val="18"/>
              </w:rPr>
              <w:t>机会均等(TPR 差距)</w:t>
            </w:r>
          </w:p>
        </w:tc>
        <w:tc>
          <w:tcPr>
            <w:tcW w:type="dxa" w:w="1728"/>
          </w:tcPr>
          <w:p>
            <w:r>
              <w:rPr>
                <w:sz w:val="18"/>
              </w:rPr>
              <w:t>预测率均等性</w:t>
            </w:r>
          </w:p>
        </w:tc>
      </w:tr>
      <w:tr>
        <w:tc>
          <w:tcPr>
            <w:tcW w:type="dxa" w:w="1728"/>
          </w:tcPr>
          <w:p>
            <w:r>
              <w:rPr>
                <w:sz w:val="18"/>
              </w:rPr>
              <w:t>0.0</w:t>
            </w:r>
          </w:p>
        </w:tc>
        <w:tc>
          <w:tcPr>
            <w:tcW w:type="dxa" w:w="1728"/>
          </w:tcPr>
          <w:p>
            <w:r>
              <w:rPr>
                <w:sz w:val="18"/>
              </w:rPr>
              <w:t>66.5%</w:t>
            </w:r>
          </w:p>
        </w:tc>
        <w:tc>
          <w:tcPr>
            <w:tcW w:type="dxa" w:w="1728"/>
          </w:tcPr>
          <w:p>
            <w:r>
              <w:rPr>
                <w:sz w:val="18"/>
              </w:rPr>
              <w:t>1.938</w:t>
            </w:r>
          </w:p>
        </w:tc>
        <w:tc>
          <w:tcPr>
            <w:tcW w:type="dxa" w:w="1728"/>
          </w:tcPr>
          <w:p>
            <w:r>
              <w:rPr>
                <w:sz w:val="18"/>
              </w:rPr>
              <w:t>1.665</w:t>
            </w:r>
          </w:p>
        </w:tc>
        <w:tc>
          <w:tcPr>
            <w:tcW w:type="dxa" w:w="1728"/>
          </w:tcPr>
          <w:p>
            <w:r>
              <w:rPr>
                <w:sz w:val="18"/>
              </w:rPr>
              <w:t>1.150</w:t>
            </w:r>
          </w:p>
        </w:tc>
      </w:tr>
      <w:tr>
        <w:tc>
          <w:tcPr>
            <w:tcW w:type="dxa" w:w="1728"/>
          </w:tcPr>
          <w:p>
            <w:r>
              <w:rPr>
                <w:sz w:val="18"/>
              </w:rPr>
              <w:t>0.05</w:t>
            </w:r>
          </w:p>
        </w:tc>
        <w:tc>
          <w:tcPr>
            <w:tcW w:type="dxa" w:w="1728"/>
          </w:tcPr>
          <w:p>
            <w:r>
              <w:rPr>
                <w:sz w:val="18"/>
              </w:rPr>
              <w:t>65.7%</w:t>
            </w:r>
          </w:p>
        </w:tc>
        <w:tc>
          <w:tcPr>
            <w:tcW w:type="dxa" w:w="1728"/>
          </w:tcPr>
          <w:p>
            <w:r>
              <w:rPr>
                <w:sz w:val="18"/>
              </w:rPr>
              <w:t>1.133</w:t>
            </w:r>
          </w:p>
        </w:tc>
        <w:tc>
          <w:tcPr>
            <w:tcW w:type="dxa" w:w="1728"/>
          </w:tcPr>
          <w:p>
            <w:r>
              <w:rPr>
                <w:sz w:val="18"/>
              </w:rPr>
              <w:t>1.105</w:t>
            </w:r>
          </w:p>
        </w:tc>
        <w:tc>
          <w:tcPr>
            <w:tcW w:type="dxa" w:w="1728"/>
          </w:tcPr>
          <w:p>
            <w:r>
              <w:rPr>
                <w:sz w:val="18"/>
              </w:rPr>
              <w:t>1.306</w:t>
            </w:r>
          </w:p>
        </w:tc>
      </w:tr>
      <w:tr>
        <w:tc>
          <w:tcPr>
            <w:tcW w:type="dxa" w:w="1728"/>
          </w:tcPr>
          <w:p>
            <w:r>
              <w:rPr>
                <w:sz w:val="18"/>
              </w:rPr>
              <w:t>0.1</w:t>
            </w:r>
          </w:p>
        </w:tc>
        <w:tc>
          <w:tcPr>
            <w:tcW w:type="dxa" w:w="1728"/>
          </w:tcPr>
          <w:p>
            <w:r>
              <w:rPr>
                <w:sz w:val="18"/>
              </w:rPr>
              <w:t>62.8%</w:t>
            </w:r>
          </w:p>
        </w:tc>
        <w:tc>
          <w:tcPr>
            <w:tcW w:type="dxa" w:w="1728"/>
          </w:tcPr>
          <w:p>
            <w:r>
              <w:rPr>
                <w:sz w:val="18"/>
              </w:rPr>
              <w:t>0.633</w:t>
            </w:r>
          </w:p>
        </w:tc>
        <w:tc>
          <w:tcPr>
            <w:tcW w:type="dxa" w:w="1728"/>
          </w:tcPr>
          <w:p>
            <w:r>
              <w:rPr>
                <w:sz w:val="18"/>
              </w:rPr>
              <w:t>0.685</w:t>
            </w:r>
          </w:p>
        </w:tc>
        <w:tc>
          <w:tcPr>
            <w:tcW w:type="dxa" w:w="1728"/>
          </w:tcPr>
          <w:p>
            <w:r>
              <w:rPr>
                <w:sz w:val="18"/>
              </w:rPr>
              <w:t>1.449</w:t>
            </w:r>
          </w:p>
        </w:tc>
      </w:tr>
      <w:tr>
        <w:tc>
          <w:tcPr>
            <w:tcW w:type="dxa" w:w="1728"/>
          </w:tcPr>
          <w:p>
            <w:r>
              <w:rPr>
                <w:sz w:val="18"/>
              </w:rPr>
              <w:t>0.15</w:t>
            </w:r>
          </w:p>
        </w:tc>
        <w:tc>
          <w:tcPr>
            <w:tcW w:type="dxa" w:w="1728"/>
          </w:tcPr>
          <w:p>
            <w:r>
              <w:rPr>
                <w:sz w:val="18"/>
              </w:rPr>
              <w:t>59.4%</w:t>
            </w:r>
          </w:p>
        </w:tc>
        <w:tc>
          <w:tcPr>
            <w:tcW w:type="dxa" w:w="1728"/>
          </w:tcPr>
          <w:p>
            <w:r>
              <w:rPr>
                <w:sz w:val="18"/>
              </w:rPr>
              <w:t>0.337</w:t>
            </w:r>
          </w:p>
        </w:tc>
        <w:tc>
          <w:tcPr>
            <w:tcW w:type="dxa" w:w="1728"/>
          </w:tcPr>
          <w:p>
            <w:r>
              <w:rPr>
                <w:sz w:val="18"/>
              </w:rPr>
              <w:t>0.400</w:t>
            </w:r>
          </w:p>
        </w:tc>
        <w:tc>
          <w:tcPr>
            <w:tcW w:type="dxa" w:w="1728"/>
          </w:tcPr>
          <w:p>
            <w:r>
              <w:rPr>
                <w:sz w:val="18"/>
              </w:rPr>
              <w:t>1.588</w:t>
            </w:r>
          </w:p>
        </w:tc>
      </w:tr>
      <w:tr>
        <w:tc>
          <w:tcPr>
            <w:tcW w:type="dxa" w:w="1728"/>
          </w:tcPr>
          <w:p>
            <w:r>
              <w:rPr>
                <w:sz w:val="18"/>
              </w:rPr>
              <w:t>0.2</w:t>
            </w:r>
          </w:p>
        </w:tc>
        <w:tc>
          <w:tcPr>
            <w:tcW w:type="dxa" w:w="1728"/>
          </w:tcPr>
          <w:p>
            <w:r>
              <w:rPr>
                <w:sz w:val="18"/>
              </w:rPr>
              <w:t>56.8%</w:t>
            </w:r>
          </w:p>
        </w:tc>
        <w:tc>
          <w:tcPr>
            <w:tcW w:type="dxa" w:w="1728"/>
          </w:tcPr>
          <w:p>
            <w:r>
              <w:rPr>
                <w:sz w:val="18"/>
              </w:rPr>
              <w:t>0.232</w:t>
            </w:r>
          </w:p>
        </w:tc>
        <w:tc>
          <w:tcPr>
            <w:tcW w:type="dxa" w:w="1728"/>
          </w:tcPr>
          <w:p>
            <w:r>
              <w:rPr>
                <w:sz w:val="18"/>
              </w:rPr>
              <w:t>0.299</w:t>
            </w:r>
          </w:p>
        </w:tc>
        <w:tc>
          <w:tcPr>
            <w:tcW w:type="dxa" w:w="1728"/>
          </w:tcPr>
          <w:p>
            <w:r>
              <w:rPr>
                <w:sz w:val="18"/>
              </w:rPr>
              <w:t>1.725</w:t>
            </w:r>
          </w:p>
        </w:tc>
      </w:tr>
      <w:tr>
        <w:tc>
          <w:tcPr>
            <w:tcW w:type="dxa" w:w="1728"/>
          </w:tcPr>
          <w:p>
            <w:r>
              <w:rPr>
                <w:sz w:val="18"/>
              </w:rPr>
              <w:t>0.25</w:t>
            </w:r>
          </w:p>
        </w:tc>
        <w:tc>
          <w:tcPr>
            <w:tcW w:type="dxa" w:w="1728"/>
          </w:tcPr>
          <w:p>
            <w:r>
              <w:rPr>
                <w:sz w:val="18"/>
              </w:rPr>
              <w:t>54.9%</w:t>
            </w:r>
          </w:p>
        </w:tc>
        <w:tc>
          <w:tcPr>
            <w:tcW w:type="dxa" w:w="1728"/>
          </w:tcPr>
          <w:p>
            <w:r>
              <w:rPr>
                <w:sz w:val="18"/>
              </w:rPr>
              <w:t>0.162</w:t>
            </w:r>
          </w:p>
        </w:tc>
        <w:tc>
          <w:tcPr>
            <w:tcW w:type="dxa" w:w="1728"/>
          </w:tcPr>
          <w:p>
            <w:r>
              <w:rPr>
                <w:sz w:val="18"/>
              </w:rPr>
              <w:t>0.217</w:t>
            </w:r>
          </w:p>
        </w:tc>
        <w:tc>
          <w:tcPr>
            <w:tcW w:type="dxa" w:w="1728"/>
          </w:tcPr>
          <w:p>
            <w:r>
              <w:rPr>
                <w:sz w:val="18"/>
              </w:rPr>
              <w:t>1.789</w:t>
            </w:r>
          </w:p>
        </w:tc>
      </w:tr>
      <w:tr>
        <w:tc>
          <w:tcPr>
            <w:tcW w:type="dxa" w:w="1728"/>
          </w:tcPr>
          <w:p>
            <w:r>
              <w:rPr>
                <w:sz w:val="18"/>
              </w:rPr>
              <w:t>0.3</w:t>
            </w:r>
          </w:p>
        </w:tc>
        <w:tc>
          <w:tcPr>
            <w:tcW w:type="dxa" w:w="1728"/>
          </w:tcPr>
          <w:p>
            <w:r>
              <w:rPr>
                <w:sz w:val="18"/>
              </w:rPr>
              <w:t>50.4%</w:t>
            </w:r>
          </w:p>
        </w:tc>
        <w:tc>
          <w:tcPr>
            <w:tcW w:type="dxa" w:w="1728"/>
          </w:tcPr>
          <w:p>
            <w:r>
              <w:rPr>
                <w:sz w:val="18"/>
              </w:rPr>
              <w:t>0.100</w:t>
            </w:r>
          </w:p>
        </w:tc>
        <w:tc>
          <w:tcPr>
            <w:tcW w:type="dxa" w:w="1728"/>
          </w:tcPr>
          <w:p>
            <w:r>
              <w:rPr>
                <w:sz w:val="18"/>
              </w:rPr>
              <w:t>0.149</w:t>
            </w:r>
          </w:p>
        </w:tc>
        <w:tc>
          <w:tcPr>
            <w:tcW w:type="dxa" w:w="1728"/>
          </w:tcPr>
          <w:p>
            <w:r>
              <w:rPr>
                <w:sz w:val="18"/>
              </w:rPr>
              <w:t>1.982</w:t>
            </w:r>
          </w:p>
        </w:tc>
      </w:tr>
    </w:tbl>
    <w:p/>
    <w:p>
      <w:pPr>
        <w:jc w:val="center"/>
      </w:pPr>
      <w:r>
        <w:drawing>
          <wp:inline xmlns:a="http://schemas.openxmlformats.org/drawingml/2006/main" xmlns:pic="http://schemas.openxmlformats.org/drawingml/2006/picture">
            <wp:extent cx="5400000" cy="3150000"/>
            <wp:docPr id="5" name="Picture 5"/>
            <wp:cNvGraphicFramePr>
              <a:graphicFrameLocks noChangeAspect="1"/>
            </wp:cNvGraphicFramePr>
            <a:graphic>
              <a:graphicData uri="http://schemas.openxmlformats.org/drawingml/2006/picture">
                <pic:pic>
                  <pic:nvPicPr>
                    <pic:cNvPr id="0" name="fig3_compas_theta_scan.png"/>
                    <pic:cNvPicPr/>
                  </pic:nvPicPr>
                  <pic:blipFill>
                    <a:blip r:embed="rId13"/>
                    <a:stretch>
                      <a:fillRect/>
                    </a:stretch>
                  </pic:blipFill>
                  <pic:spPr>
                    <a:xfrm>
                      <a:off x="0" y="0"/>
                      <a:ext cx="5400000" cy="3150000"/>
                    </a:xfrm>
                    <a:prstGeom prst="rect"/>
                  </pic:spPr>
                </pic:pic>
              </a:graphicData>
            </a:graphic>
          </wp:inline>
        </w:drawing>
      </w:r>
    </w:p>
    <w:p>
      <w:pPr>
        <w:jc w:val="center"/>
      </w:pPr>
      <w:r>
        <w:rPr>
          <w:i/>
          <w:sz w:val="18"/>
        </w:rPr>
        <w:t>图5   COMPAS roc_pivot theta 扫描：四大指标随 theta 变化</w:t>
      </w:r>
    </w:p>
    <w:p>
      <w:r>
        <w:rPr>
          <w:b w:val="0"/>
          <w:sz w:val="22"/>
        </w:rPr>
        <w:t>（c）结果分析。讲义中的模式在更高 theta 下持续并加剧：人口统计学均等性进一步超调至 1 以下（theta=0.25 时 0.162，theta=0.30 时 0.100），TPR 差距同样继续下冲（0.217 → 0.149），预测率均等性持续恶化（1.789 → 1.982），准确率不断下降（54.9% → 50.4%，接近随机猜测）。存在明确的临界点：theta≈0.10–0.15 之后，修正已从消除差异变成反转差异（人口统计学均等性下冲至 1 以下意味着非裔反而被标记高风险的比率远低于白人）；theta&gt;0.20 后模型失去实际意义——准确率逼近 50%，而被标记高风险的非裔占比仅剩白人的约十分之一，属于系统性反向歧视。</w:t>
      </w:r>
    </w:p>
    <w:p>
      <w:pPr>
        <w:pStyle w:val="Heading2"/>
      </w:pPr>
      <w:r>
        <w:rPr>
          <w:rFonts w:ascii="Times New Roman" w:hAnsi="Times New Roman" w:eastAsia="黑体"/>
          <w:color w:val="000000"/>
        </w:rPr>
        <w:t>问题6 — 为何不存在满足所有准则的 theta</w:t>
      </w:r>
    </w:p>
    <w:p>
      <w:r>
        <w:rPr>
          <w:b w:val="0"/>
          <w:sz w:val="22"/>
        </w:rPr>
        <w:t>第二章的不可能性结论指出：当两个群体的基础结果率（基准率）不同时，人口统计学均等性（预测独立于受保护属性）、均衡赔率/分离性（在预测条件下结果独立于受保护属性）与预测率均等性/充分性（在结果条件下预测独立于受保护属性）无法同时满足，除非预测完美。COMPAS 数据中白人再犯率 39.1%、非裔 52.3%，两者不同，因此不存在能够同时使三项比率都接近 1 的单一 theta 值。</w:t>
      </w:r>
    </w:p>
    <w:p>
      <w:r>
        <w:rPr>
          <w:b w:val="0"/>
          <w:sz w:val="22"/>
        </w:rPr>
        <w:t>roc_pivot 只能沿着这条不可能曲线移动：它把人口统计学均等性与 TPR 差距推向 1 的同时，必然以牺牲预测率均等性为代价（表7 中预测率均等性从 1.15 单调恶化到 1.98）。这是因为三类准则以不同的方式处理基准率差异——人口统计学均等性完全忽略真实结果，因而同时反映模型差异与基准率差异；精确率以预测为条件，部分吸收了基准率差异。当基准率不同时，把其中两者推向均等必然使第三者失衡。</w:t>
      </w:r>
    </w:p>
    <w:p>
      <w:r>
        <w:rPr>
          <w:b w:val="0"/>
          <w:sz w:val="22"/>
        </w:rPr>
        <w:t>要使这样的 theta 存在，需要两个群体满足的条件是：基础再犯率相同（即白人与非裔的再犯率相等，此时三项准则可由同一阈值同时满足），或者模型在受保护属性上达到完美预测。现实中这两个条件均不成立，因此选择一种后处理修正，本质上就是选择将基准率差异中的哪一部分计入不公平、哪一部分视为信号——这与第二章第一步选择准则密不可分。</w:t>
      </w:r>
    </w:p>
    <w:p>
      <w:pPr>
        <w:pStyle w:val="Heading2"/>
      </w:pPr>
      <w:r>
        <w:rPr>
          <w:rFonts w:ascii="Times New Roman" w:hAnsi="Times New Roman" w:eastAsia="黑体"/>
          <w:color w:val="000000"/>
        </w:rPr>
        <w:t>附录：代码清单</w:t>
      </w:r>
    </w:p>
    <w:p>
      <w:r>
        <w:rPr>
          <w:b w:val="0"/>
          <w:sz w:val="22"/>
        </w:rPr>
        <w:t>全部代码位于 TASK3/py/ 目录，可直接运行复现：</w:t>
      </w:r>
    </w:p>
    <w:p>
      <w:pPr>
        <w:spacing w:after="0"/>
        <w:ind w:left="283"/>
      </w:pPr>
      <w:r>
        <w:rPr>
          <w:rFonts w:ascii="Consolas" w:hAnsi="Consolas" w:eastAsia="宋体"/>
          <w:sz w:val="17"/>
        </w:rPr>
        <w:t>TASK3/py/</w:t>
      </w:r>
    </w:p>
    <w:p>
      <w:pPr>
        <w:spacing w:after="0"/>
        <w:ind w:left="283"/>
      </w:pPr>
      <w:r>
        <w:rPr>
          <w:rFonts w:ascii="Consolas" w:hAnsi="Consolas" w:eastAsia="宋体"/>
          <w:sz w:val="17"/>
        </w:rPr>
        <w:t>├── fairness_utils.py      # DI remover / roc_pivot / 分类公平性指标（对照 R 源码复刻）</w:t>
      </w:r>
    </w:p>
    <w:p>
      <w:pPr>
        <w:spacing w:after="0"/>
        <w:ind w:left="283"/>
      </w:pPr>
      <w:r>
        <w:rPr>
          <w:rFonts w:ascii="Consolas" w:hAnsi="Consolas" w:eastAsia="宋体"/>
          <w:sz w:val="17"/>
        </w:rPr>
        <w:t>├── insurance_models.py    # 数据加载、GLM/XGBoost 拟合、预测与指标</w:t>
      </w:r>
    </w:p>
    <w:p>
      <w:pPr>
        <w:spacing w:after="0"/>
        <w:ind w:left="283"/>
      </w:pPr>
      <w:r>
        <w:rPr>
          <w:rFonts w:ascii="Consolas" w:hAnsi="Consolas" w:eastAsia="宋体"/>
          <w:sz w:val="17"/>
        </w:rPr>
        <w:t>├── 00_baseline.py         # 基线复现：5 模型 x (GLM|XGBoost)，输出表1/表2/图1</w:t>
      </w:r>
    </w:p>
    <w:p>
      <w:pPr>
        <w:spacing w:after="0"/>
        <w:ind w:left="283"/>
      </w:pPr>
      <w:r>
        <w:rPr>
          <w:rFonts w:ascii="Consolas" w:hAnsi="Consolas" w:eastAsia="宋体"/>
          <w:sz w:val="17"/>
        </w:rPr>
        <w:t>├── 01_q1_q2.py            # 问题1 lambda 扫描 + 问题2 Density 去偏</w:t>
      </w:r>
    </w:p>
    <w:p>
      <w:pPr>
        <w:spacing w:after="0"/>
        <w:ind w:left="283"/>
      </w:pPr>
      <w:r>
        <w:rPr>
          <w:rFonts w:ascii="Consolas" w:hAnsi="Consolas" w:eastAsia="宋体"/>
          <w:sz w:val="17"/>
        </w:rPr>
        <w:t>├── 02_q3.py               # 问题3 DIR 计算（讲义平均保费表）</w:t>
      </w:r>
    </w:p>
    <w:p>
      <w:pPr>
        <w:spacing w:after="0"/>
        <w:ind w:left="283"/>
      </w:pPr>
      <w:r>
        <w:rPr>
          <w:rFonts w:ascii="Consolas" w:hAnsi="Consolas" w:eastAsia="宋体"/>
          <w:sz w:val="17"/>
        </w:rPr>
        <w:t>├── 03_plots.py            # 全部图表的生成</w:t>
      </w:r>
    </w:p>
    <w:p>
      <w:pPr>
        <w:spacing w:after="0"/>
        <w:ind w:left="283"/>
      </w:pPr>
      <w:r>
        <w:rPr>
          <w:rFonts w:ascii="Consolas" w:hAnsi="Consolas" w:eastAsia="宋体"/>
          <w:sz w:val="17"/>
        </w:rPr>
        <w:t>├── 05_q5_compas.py        # COMPAS M0/MU + theta 扩展扫描（表6/表7/图5）</w:t>
      </w:r>
    </w:p>
    <w:p>
      <w:pPr>
        <w:spacing w:after="0"/>
        <w:ind w:left="283"/>
      </w:pPr>
      <w:r>
        <w:rPr>
          <w:rFonts w:ascii="Consolas" w:hAnsi="Consolas" w:eastAsia="宋体"/>
          <w:sz w:val="17"/>
        </w:rPr>
        <w:t>└── output/                # 结果表（csv/json）与图表（png）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