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2022年03月20日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_Toc690980514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岗位管理</w:t>
      </w:r>
      <w:r>
        <w:tab/>
      </w:r>
      <w:r>
        <w:fldChar w:fldCharType="begin"/>
      </w:r>
      <w:r>
        <w:instrText xml:space="preserve"> PAGEREF _Toc690980514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_Toc1865419469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_Toc1865419469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_Toc991252930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_Toc991252930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_Toc1957344731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_Toc1957344731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_Toc1938389171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_Toc1938389171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690980514"/>
      <w:r>
        <w:rPr>
          <w:rFonts w:hint="eastAsia"/>
          <w:lang w:val="en-US" w:eastAsia="zh-Hans"/>
        </w:rPr>
        <w:t>岗位管理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86541946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本功能用于管理系统内的“岗位”。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54400"/>
            <wp:effectExtent l="12700" t="1270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编号：岗位的编号。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名称：岗位的名称。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状态：岗位的状态，可以选择“启用、停用”，默认为空表示全部。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991252930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9905" cy="2703195"/>
            <wp:effectExtent l="12700" t="12700" r="3619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03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957344731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938389171"/>
      <w:r>
        <w:rPr>
          <w:rFonts w:hint="eastAsia"/>
          <w:lang w:val="en-US" w:eastAsia="zh-Hans"/>
        </w:rPr>
        <w:t>批量启用、停用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2879725" cy="2020570"/>
            <wp:effectExtent l="12700" t="12700" r="2857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20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“批量启用”是将选择的岗位批量启用。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“批量停用”是将选择的岗位批量停用。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v30HeLws1S9CzmzDk9HRHrTduKE=" w:salt="DwF4P7+GDfvtELAK2LLFY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B1F6159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59CE"/>
    <w:rsid w:val="7CDAD40F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9FEDF323"/>
    <w:rsid w:val="ABFEC4E9"/>
    <w:rsid w:val="B7EEF96A"/>
    <w:rsid w:val="BB4DC890"/>
    <w:rsid w:val="BBBC2529"/>
    <w:rsid w:val="BBFE94C7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AE313E0"/>
    <w:rsid w:val="EB6C1598"/>
    <w:rsid w:val="EBBDC689"/>
    <w:rsid w:val="ED349B74"/>
    <w:rsid w:val="EFF86A76"/>
    <w:rsid w:val="EFFBBEE6"/>
    <w:rsid w:val="F3B860A8"/>
    <w:rsid w:val="F7DE540A"/>
    <w:rsid w:val="F7FFC986"/>
    <w:rsid w:val="FB1A0D8D"/>
    <w:rsid w:val="FCDF62BE"/>
    <w:rsid w:val="FD79E622"/>
    <w:rsid w:val="FDB64366"/>
    <w:rsid w:val="FEF36B07"/>
    <w:rsid w:val="FEFE5A26"/>
    <w:rsid w:val="FF538D44"/>
    <w:rsid w:val="FF6FD03E"/>
    <w:rsid w:val="FF7F68FD"/>
    <w:rsid w:val="FFDDD5D4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2019-02-24T00:18:00Z</dcterms:created>
  <dc:creator>633951</dc:creator>
  <cp:lastModifiedBy>aiqin</cp:lastModifiedBy>
  <dcterms:modified xsi:type="dcterms:W3CDTF">2022-03-20T23:04:39Z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