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_Toc650281011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会员信息</w:t>
      </w:r>
      <w:r>
        <w:tab/>
      </w:r>
      <w:r>
        <w:fldChar w:fldCharType="begin"/>
      </w:r>
      <w:r>
        <w:instrText xml:space="preserve"> PAGEREF _Toc650281011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_Toc728672294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_Toc728672294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_Toc1843490064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_Toc1843490064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_Toc1790930379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_Toc1790930379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650281011"/>
      <w:r>
        <w:rPr>
          <w:rFonts w:hint="eastAsia"/>
          <w:lang w:val="en-US" w:eastAsia="zh-Hans"/>
        </w:rPr>
        <w:t>会员信息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72867229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本功能用于管理“会员”。会员是“零售订单”中的“买方”。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38525"/>
            <wp:effectExtent l="12700" t="12700" r="13970" b="285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编号：会员的编号。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名称：会员的名称。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状态：会员的状态，可以选择“启用、停用”，默认为空表示全部。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843490064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9725" cy="3418205"/>
            <wp:effectExtent l="12700" t="12700" r="28575" b="234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41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性别：可以选择“未知、男、女”，默认是“男”。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入会日期：会员的注册日期，默认是当前日期。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90930379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E1AA5"/>
    <w:multiLevelType w:val="singleLevel"/>
    <w:tmpl w:val="FB6E1A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0/LVgZvZs8IwpJQlU2HHCSt14G4=" w:salt="H0Te7c9HLELDQ6NGjb6Tu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BCBA720"/>
    <w:rsid w:val="2C826AF4"/>
    <w:rsid w:val="2D3E90BC"/>
    <w:rsid w:val="2E7062F6"/>
    <w:rsid w:val="2F1E5115"/>
    <w:rsid w:val="2F6F472E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EEE99FB"/>
    <w:rsid w:val="3F7916D9"/>
    <w:rsid w:val="3F930800"/>
    <w:rsid w:val="3FC30C1C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572F7A"/>
    <w:rsid w:val="557FF667"/>
    <w:rsid w:val="55986B9A"/>
    <w:rsid w:val="56095D5A"/>
    <w:rsid w:val="569C0136"/>
    <w:rsid w:val="56D513F8"/>
    <w:rsid w:val="56DF2741"/>
    <w:rsid w:val="57FF863E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B3F6950"/>
    <w:rsid w:val="6CD358E9"/>
    <w:rsid w:val="6D9B9CEF"/>
    <w:rsid w:val="6ED7F7CF"/>
    <w:rsid w:val="6EEFD442"/>
    <w:rsid w:val="6EF2DF5B"/>
    <w:rsid w:val="6FDEA253"/>
    <w:rsid w:val="6FE7A2DD"/>
    <w:rsid w:val="6FEFFCC7"/>
    <w:rsid w:val="71747AEE"/>
    <w:rsid w:val="72533A70"/>
    <w:rsid w:val="73BFC79A"/>
    <w:rsid w:val="73D957FB"/>
    <w:rsid w:val="73F92F97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3E1A71"/>
    <w:rsid w:val="7B59044A"/>
    <w:rsid w:val="7B77196D"/>
    <w:rsid w:val="7BA96B5B"/>
    <w:rsid w:val="7BFFD3A3"/>
    <w:rsid w:val="7C6B054A"/>
    <w:rsid w:val="7CDAD40F"/>
    <w:rsid w:val="7DEA2AB3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9DE7D2C5"/>
    <w:rsid w:val="9E7B6946"/>
    <w:rsid w:val="ABFEC4E9"/>
    <w:rsid w:val="B7C276B2"/>
    <w:rsid w:val="B7EEF96A"/>
    <w:rsid w:val="B7FB7DB4"/>
    <w:rsid w:val="BB4DC890"/>
    <w:rsid w:val="BBBC2529"/>
    <w:rsid w:val="BDDA463A"/>
    <w:rsid w:val="BF4A6B3E"/>
    <w:rsid w:val="C37F5B4E"/>
    <w:rsid w:val="C66BDB02"/>
    <w:rsid w:val="CBDEA47C"/>
    <w:rsid w:val="CBFC5302"/>
    <w:rsid w:val="CFBB6F4F"/>
    <w:rsid w:val="CFBF5A45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DFC1DC6"/>
    <w:rsid w:val="EFF86A76"/>
    <w:rsid w:val="EFFA17A9"/>
    <w:rsid w:val="EFFBBEE6"/>
    <w:rsid w:val="F3B860A8"/>
    <w:rsid w:val="F7DE540A"/>
    <w:rsid w:val="FB5FB9B7"/>
    <w:rsid w:val="FBBFAA0E"/>
    <w:rsid w:val="FCDF62BE"/>
    <w:rsid w:val="FDB64366"/>
    <w:rsid w:val="FDC7612D"/>
    <w:rsid w:val="FEBD6081"/>
    <w:rsid w:val="FEDC1DCA"/>
    <w:rsid w:val="FEFE5A26"/>
    <w:rsid w:val="FEFFA58F"/>
    <w:rsid w:val="FF538D44"/>
    <w:rsid w:val="FF6FD03E"/>
    <w:rsid w:val="FF7F68FD"/>
    <w:rsid w:val="FFDE6085"/>
    <w:rsid w:val="FFEF6885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2019-02-25T08:18:00Z</dcterms:created>
  <dc:creator>633951</dc:creator>
  <cp:lastModifiedBy>aiqin</cp:lastModifiedBy>
  <dcterms:modified xsi:type="dcterms:W3CDTF">2022-03-20T23:33:12Z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