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_Toc141795806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商品类目</w:t>
      </w:r>
      <w:r>
        <w:tab/>
      </w:r>
      <w:r>
        <w:fldChar w:fldCharType="begin"/>
      </w:r>
      <w:r>
        <w:instrText xml:space="preserve"> PAGEREF _Toc141795806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_Toc1602746919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_Toc1602746919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_Toc1480083312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_Toc1480083312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_Toc1457141583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_Toc1457141583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_Toc275075093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新增子类目</w:t>
      </w:r>
      <w:r>
        <w:tab/>
      </w:r>
      <w:r>
        <w:fldChar w:fldCharType="begin"/>
      </w:r>
      <w:r>
        <w:instrText xml:space="preserve"> PAGEREF _Toc275075093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_Toc1802279707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1.5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_Toc1802279707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41795806"/>
      <w:r>
        <w:rPr>
          <w:rFonts w:hint="eastAsia"/>
          <w:lang w:val="en-US" w:eastAsia="zh-Hans"/>
        </w:rPr>
        <w:t>商品类目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602746919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本功能用于管理“商品类目”。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23285"/>
            <wp:effectExtent l="12700" t="12700" r="1397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编号：商品类目的编号。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名称：商品类目的名称。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状态：商品类目的状态，可以选择“启用、停用”，默认为“启用”。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“操作”列中有“新增子类目、修改”按钮。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480083312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2879725" cy="1807210"/>
            <wp:effectExtent l="12700" t="12700" r="28575" b="342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07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457141583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点击每行“操作”列的“修改”按钮，页面如下图所示：</w:t>
      </w:r>
    </w:p>
    <w:p>
      <w:r>
        <w:drawing>
          <wp:inline distT="0" distB="0" distL="114300" distR="114300">
            <wp:extent cx="2879725" cy="2451735"/>
            <wp:effectExtent l="12700" t="12700" r="28575" b="247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51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上级类目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不允许修改。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275075093"/>
      <w:r>
        <w:rPr>
          <w:rFonts w:hint="eastAsia"/>
          <w:lang w:val="en-US" w:eastAsia="zh-Hans"/>
        </w:rPr>
        <w:t>新增子类目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点击每行“操作”列的“新增子类目”按钮，页面如下图所示：</w:t>
      </w:r>
    </w:p>
    <w:p>
      <w:r>
        <w:drawing>
          <wp:inline distT="0" distB="0" distL="114300" distR="114300">
            <wp:extent cx="2879725" cy="2122805"/>
            <wp:effectExtent l="12700" t="12700" r="28575" b="234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22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上级类目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固定为当前行的类目。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5" w:name="_Toc1802279707"/>
      <w:r>
        <w:rPr>
          <w:rFonts w:hint="eastAsia"/>
          <w:lang w:val="en-US" w:eastAsia="zh-Hans"/>
        </w:rPr>
        <w:t>批量启用、停用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r>
        <w:drawing>
          <wp:inline distT="0" distB="0" distL="114300" distR="114300">
            <wp:extent cx="2879725" cy="1228725"/>
            <wp:effectExtent l="12700" t="12700" r="28575" b="285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28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“批量启用”是将选择的类目批量启用。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“批量停用”是将选择的类目批量停用。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注：类目“启用”时，会将此类目以及此类目的所有父类目全部启用；类目“停用”时，会将此类目以及此类目的所有子类目全部停用。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5946A"/>
    <w:multiLevelType w:val="singleLevel"/>
    <w:tmpl w:val="D7F594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+jOAfA5GiQ61kmyeRYGdOY55PX4=" w:salt="wc1/feo2G2AkJ0QsFNmPL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9FEB129"/>
    <w:rsid w:val="1A057D25"/>
    <w:rsid w:val="1B352CC5"/>
    <w:rsid w:val="1D3F3D26"/>
    <w:rsid w:val="1DFF6ADE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C833292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5FDB9D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DF3F3B1"/>
    <w:rsid w:val="3EEE99FB"/>
    <w:rsid w:val="3F7916D9"/>
    <w:rsid w:val="3F930800"/>
    <w:rsid w:val="3FAC7EBF"/>
    <w:rsid w:val="3FB63AF2"/>
    <w:rsid w:val="40636118"/>
    <w:rsid w:val="409123FB"/>
    <w:rsid w:val="41857979"/>
    <w:rsid w:val="425FC9D7"/>
    <w:rsid w:val="43077F8B"/>
    <w:rsid w:val="431B69E9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8FDBE8D"/>
    <w:rsid w:val="59FFD67E"/>
    <w:rsid w:val="5A4951AD"/>
    <w:rsid w:val="5A581871"/>
    <w:rsid w:val="5A6A3211"/>
    <w:rsid w:val="5ABDBCE7"/>
    <w:rsid w:val="5AFED57A"/>
    <w:rsid w:val="5BBB8E29"/>
    <w:rsid w:val="5BF37342"/>
    <w:rsid w:val="5CFFDD8D"/>
    <w:rsid w:val="5DA93E92"/>
    <w:rsid w:val="5DC95CFF"/>
    <w:rsid w:val="5DFD08FA"/>
    <w:rsid w:val="5E659CFB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7C593E8"/>
    <w:rsid w:val="67F5A883"/>
    <w:rsid w:val="68554D55"/>
    <w:rsid w:val="68631703"/>
    <w:rsid w:val="68FB6FCD"/>
    <w:rsid w:val="6A89409E"/>
    <w:rsid w:val="6CD358E9"/>
    <w:rsid w:val="6D9B9CEF"/>
    <w:rsid w:val="6ED7F7CF"/>
    <w:rsid w:val="6EEFD442"/>
    <w:rsid w:val="6EF2DF5B"/>
    <w:rsid w:val="6FDAB0FB"/>
    <w:rsid w:val="6FDEA253"/>
    <w:rsid w:val="6FE7A2DD"/>
    <w:rsid w:val="71747AEE"/>
    <w:rsid w:val="72533A70"/>
    <w:rsid w:val="73BFC79A"/>
    <w:rsid w:val="73D957FB"/>
    <w:rsid w:val="73FF40C7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E56C45"/>
    <w:rsid w:val="7BFEC63A"/>
    <w:rsid w:val="7BFFD3A3"/>
    <w:rsid w:val="7CDAD40F"/>
    <w:rsid w:val="7DEA2AB3"/>
    <w:rsid w:val="7E7FD700"/>
    <w:rsid w:val="7EAFDF60"/>
    <w:rsid w:val="7EF50B76"/>
    <w:rsid w:val="7F2DFD17"/>
    <w:rsid w:val="7F33443D"/>
    <w:rsid w:val="7F7079D4"/>
    <w:rsid w:val="7F7EBB3C"/>
    <w:rsid w:val="7FA746BC"/>
    <w:rsid w:val="7FCB18C9"/>
    <w:rsid w:val="7FCF8013"/>
    <w:rsid w:val="7FD905F6"/>
    <w:rsid w:val="7FE7B5DF"/>
    <w:rsid w:val="7FEF074D"/>
    <w:rsid w:val="8359A758"/>
    <w:rsid w:val="8EFF9F80"/>
    <w:rsid w:val="9DE7D2C5"/>
    <w:rsid w:val="9E7B6946"/>
    <w:rsid w:val="9FDF6593"/>
    <w:rsid w:val="A7BB20A6"/>
    <w:rsid w:val="A7FB40B6"/>
    <w:rsid w:val="ABFEC4E9"/>
    <w:rsid w:val="AF9F41DF"/>
    <w:rsid w:val="B16D7F74"/>
    <w:rsid w:val="B51E1D31"/>
    <w:rsid w:val="B7EEF96A"/>
    <w:rsid w:val="BB4DC890"/>
    <w:rsid w:val="BBBC2529"/>
    <w:rsid w:val="BBE556B1"/>
    <w:rsid w:val="BF4A6B3E"/>
    <w:rsid w:val="BFBEAD55"/>
    <w:rsid w:val="BFE387B2"/>
    <w:rsid w:val="C37F5B4E"/>
    <w:rsid w:val="C66BDB02"/>
    <w:rsid w:val="C7F90589"/>
    <w:rsid w:val="CBDEA47C"/>
    <w:rsid w:val="CBF63CB2"/>
    <w:rsid w:val="CBFC5302"/>
    <w:rsid w:val="CE6FBFCE"/>
    <w:rsid w:val="CFA7A04E"/>
    <w:rsid w:val="CFBB6F4F"/>
    <w:rsid w:val="D39FC362"/>
    <w:rsid w:val="D3E2B922"/>
    <w:rsid w:val="D7FF3FDD"/>
    <w:rsid w:val="DDFFC43E"/>
    <w:rsid w:val="DEDD0156"/>
    <w:rsid w:val="DEE93092"/>
    <w:rsid w:val="DF9F89E3"/>
    <w:rsid w:val="DFFEC3B5"/>
    <w:rsid w:val="E27E65A3"/>
    <w:rsid w:val="E27F52B8"/>
    <w:rsid w:val="E2CDEB9E"/>
    <w:rsid w:val="E5716F81"/>
    <w:rsid w:val="E771BFF6"/>
    <w:rsid w:val="E7AE343D"/>
    <w:rsid w:val="E9FB46A4"/>
    <w:rsid w:val="EBBDC689"/>
    <w:rsid w:val="EBDD29CB"/>
    <w:rsid w:val="EBFF0BCC"/>
    <w:rsid w:val="ED349B74"/>
    <w:rsid w:val="EDBF45B6"/>
    <w:rsid w:val="EFF86A76"/>
    <w:rsid w:val="EFFA17A9"/>
    <w:rsid w:val="EFFBBEE6"/>
    <w:rsid w:val="EFFFFD2D"/>
    <w:rsid w:val="F35BDAE0"/>
    <w:rsid w:val="F3B860A8"/>
    <w:rsid w:val="F7BBFE58"/>
    <w:rsid w:val="F7DE540A"/>
    <w:rsid w:val="F95F0A6D"/>
    <w:rsid w:val="FCDF62BE"/>
    <w:rsid w:val="FDB64366"/>
    <w:rsid w:val="FEBD6081"/>
    <w:rsid w:val="FEFE5A26"/>
    <w:rsid w:val="FF538D44"/>
    <w:rsid w:val="FF6FD03E"/>
    <w:rsid w:val="FF7F68FD"/>
    <w:rsid w:val="FFF15B5B"/>
    <w:rsid w:val="FFFF2B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2019-02-26T00:18:00Z</dcterms:created>
  <dc:creator>633951</dc:creator>
  <cp:lastModifiedBy>aiqin</cp:lastModifiedBy>
  <dcterms:modified xsi:type="dcterms:W3CDTF">2022-03-20T23:38:13Z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