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2022年02月08日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_Toc1301163767 </w:instrText>
      </w:r>
      <w:r>
        <w:rPr>
          <w:rFonts w:hint="eastAsia"/>
          <w:lang w:val="en-US" w:eastAsia="zh-Hans"/>
        </w:rPr>
        <w:fldChar w:fldCharType="separate"/>
      </w:r>
      <w:r>
        <w:rPr>
          <w:rFonts w:hint="default"/>
          <w:lang w:val="en-US" w:eastAsia="zh-CN"/>
        </w:rPr>
        <w:t xml:space="preserve">1 </w:t>
      </w:r>
      <w:r>
        <w:rPr>
          <w:rFonts w:hint="eastAsia"/>
          <w:lang w:val="en-US" w:eastAsia="zh-Hans"/>
        </w:rPr>
        <w:t>销售参数设置</w:t>
      </w:r>
      <w:r>
        <w:tab/>
      </w:r>
      <w:r>
        <w:fldChar w:fldCharType="begin"/>
      </w:r>
      <w:r>
        <w:instrText xml:space="preserve"> PAGEREF _Toc1301163767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_Toc833454568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_Toc833454568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01163767"/>
      <w:r>
        <w:rPr>
          <w:rFonts w:hint="eastAsia"/>
          <w:lang w:val="en-US" w:eastAsia="zh-Hans"/>
        </w:rPr>
        <w:t>销售参数设置</w:t>
      </w:r>
      <w:bookmarkEnd w:id="0"/>
    </w:p>
    <w:p>
      <w:pPr>
        <w:pStyle w:val="3"/>
        <w:bidi w:val="0"/>
        <w:rPr>
          <w:rFonts w:hint="eastAsia"/>
          <w:lang w:val="en-US" w:eastAsia="zh-CN"/>
        </w:rPr>
      </w:pPr>
      <w:bookmarkStart w:id="1" w:name="_Toc83345456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1574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1574800"/>
                    </a:xfrm>
                    <a:prstGeom prst="rect">
                      <a:avLst/>
                    </a:prstGeom>
                    <a:noFill/>
                    <a:ln w="9525">
                      <a:no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那么销售出库时必须指定销售订单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那么可以对一个销售订单多次出库</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那么销售退货时必须指定销售出库单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销售退货单是否多次关联销售出库单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那么可以对一个销售出库单多次退货</w:t>
      </w:r>
      <w:r>
        <w:rPr>
          <w:rFonts w:hint="default"/>
          <w:lang w:eastAsia="zh-Hans"/>
        </w:rPr>
        <w:t>。</w:t>
      </w:r>
    </w:p>
    <w:p>
      <w:pPr>
        <w:numPr>
          <w:ilvl w:val="0"/>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销售出库单是否多次关联销售订单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那么“销售出库单是否关联销售订单”一定要选择“是”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销售退货单是否多次关联销售出库单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那么“销售退货单是否关联销售出库单”一定要选择“是”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“销售出库单是否关联销售订单”选择“否”时</w:t>
      </w:r>
      <w:r>
        <w:rPr>
          <w:rFonts w:hint="default"/>
          <w:lang w:eastAsia="zh-Hans"/>
        </w:rPr>
        <w:t>，</w:t>
      </w:r>
      <w:r>
        <w:rPr>
          <w:rFonts w:hint="eastAsia"/>
          <w:lang w:val="en-US" w:eastAsia="zh-Hans"/>
        </w:rPr>
        <w:t>新增销售出库单时</w:t>
      </w:r>
      <w:r>
        <w:rPr>
          <w:rFonts w:hint="default"/>
          <w:lang w:eastAsia="zh-Hans"/>
        </w:rPr>
        <w:t>，</w:t>
      </w:r>
      <w:r>
        <w:rPr>
          <w:rFonts w:hint="eastAsia"/>
          <w:lang w:val="en-US" w:eastAsia="zh-Hans"/>
        </w:rPr>
        <w:t>也可以选择销售订单</w:t>
      </w:r>
      <w:r>
        <w:rPr>
          <w:rFonts w:hint="default"/>
          <w:lang w:eastAsia="zh-Hans"/>
        </w:rPr>
        <w:t>，</w:t>
      </w:r>
      <w:r>
        <w:rPr>
          <w:rFonts w:hint="eastAsia"/>
          <w:lang w:val="en-US" w:eastAsia="zh-Hans"/>
        </w:rPr>
        <w:t>但仅是将选择的销售订单中的信息导入到销售出库单中</w:t>
      </w:r>
      <w:r>
        <w:rPr>
          <w:rFonts w:hint="default"/>
          <w:lang w:eastAsia="zh-Hans"/>
        </w:rPr>
        <w:t>，</w:t>
      </w:r>
      <w:r>
        <w:rPr>
          <w:rFonts w:hint="eastAsia"/>
          <w:lang w:val="en-US" w:eastAsia="zh-Hans"/>
        </w:rPr>
        <w:t>并不会将销售订单与销售出库单进行关联</w:t>
      </w:r>
      <w:r>
        <w:rPr>
          <w:rFonts w:hint="default"/>
          <w:lang w:eastAsia="zh-Hans"/>
        </w:rPr>
        <w:t>，</w:t>
      </w:r>
      <w:r>
        <w:rPr>
          <w:rFonts w:hint="eastAsia"/>
          <w:lang w:val="en-US" w:eastAsia="zh-Hans"/>
        </w:rPr>
        <w:t>同时也不会控制销售出库单中的商品数量必须小于等于销售订单中的商品数量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“销售出库单是否多次关联销售订单”选择“否”时</w:t>
      </w:r>
      <w:r>
        <w:rPr>
          <w:rFonts w:hint="default"/>
          <w:lang w:eastAsia="zh-Hans"/>
        </w:rPr>
        <w:t>，</w:t>
      </w:r>
      <w:r>
        <w:rPr>
          <w:rFonts w:hint="eastAsia"/>
          <w:lang w:val="en-US" w:eastAsia="zh-Hans"/>
        </w:rPr>
        <w:t>表示一个销售订单仅允许关联一个销售出库单</w:t>
      </w:r>
      <w:r>
        <w:rPr>
          <w:rFonts w:hint="default"/>
          <w:lang w:eastAsia="zh-Hans"/>
        </w:rPr>
        <w:t>，</w:t>
      </w:r>
      <w:r>
        <w:rPr>
          <w:rFonts w:hint="eastAsia"/>
          <w:lang w:val="en-US" w:eastAsia="zh-Hans"/>
        </w:rPr>
        <w:t>就算该销售出库单没有将关联的销售订单中的商品全部出库</w:t>
      </w:r>
      <w:r>
        <w:rPr>
          <w:rFonts w:hint="default"/>
          <w:lang w:eastAsia="zh-Hans"/>
        </w:rPr>
        <w:t>，</w:t>
      </w:r>
      <w:r>
        <w:rPr>
          <w:rFonts w:hint="eastAsia"/>
          <w:lang w:val="en-US" w:eastAsia="zh-Hans"/>
        </w:rPr>
        <w:t>也不允许对该销售订单再生成销售出库单进行出库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销售退货单是否关联销售出库单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新增销售退货单时</w:t>
      </w:r>
      <w:r>
        <w:rPr>
          <w:rFonts w:hint="default"/>
          <w:lang w:eastAsia="zh-Hans"/>
        </w:rPr>
        <w:t>，</w:t>
      </w:r>
      <w:r>
        <w:rPr>
          <w:rFonts w:hint="eastAsia"/>
          <w:lang w:val="en-US" w:eastAsia="zh-Hans"/>
        </w:rPr>
        <w:t>也可以选择销售出库单</w:t>
      </w:r>
      <w:r>
        <w:rPr>
          <w:rFonts w:hint="default"/>
          <w:lang w:eastAsia="zh-Hans"/>
        </w:rPr>
        <w:t>，</w:t>
      </w:r>
      <w:r>
        <w:rPr>
          <w:rFonts w:hint="eastAsia"/>
          <w:lang w:val="en-US" w:eastAsia="zh-Hans"/>
        </w:rPr>
        <w:t>但仅是将选择的销售出库单中的信息导入到销售退货单中</w:t>
      </w:r>
      <w:r>
        <w:rPr>
          <w:rFonts w:hint="default"/>
          <w:lang w:eastAsia="zh-Hans"/>
        </w:rPr>
        <w:t>，</w:t>
      </w:r>
      <w:r>
        <w:rPr>
          <w:rFonts w:hint="eastAsia"/>
          <w:lang w:val="en-US" w:eastAsia="zh-Hans"/>
        </w:rPr>
        <w:t>并不会将销售出库单与销售退货单进行关联</w:t>
      </w:r>
      <w:r>
        <w:rPr>
          <w:rFonts w:hint="default"/>
          <w:lang w:eastAsia="zh-Hans"/>
        </w:rPr>
        <w:t>，</w:t>
      </w:r>
      <w:r>
        <w:rPr>
          <w:rFonts w:hint="eastAsia"/>
          <w:lang w:val="en-US" w:eastAsia="zh-Hans"/>
        </w:rPr>
        <w:t>同时也不会控制销售退货单中的商品数量必须小于等于销售出库单中的商品数量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“销售退货单是否多次关联销售出库单”选择“否”时</w:t>
      </w:r>
      <w:r>
        <w:rPr>
          <w:rFonts w:hint="default"/>
          <w:lang w:eastAsia="zh-Hans"/>
        </w:rPr>
        <w:t>，</w:t>
      </w:r>
      <w:r>
        <w:rPr>
          <w:rFonts w:hint="eastAsia"/>
          <w:lang w:val="en-US" w:eastAsia="zh-Hans"/>
        </w:rPr>
        <w:t>表示一个销售出库单仅允许关联一个销售退货单</w:t>
      </w:r>
      <w:r>
        <w:rPr>
          <w:rFonts w:hint="default"/>
          <w:lang w:eastAsia="zh-Hans"/>
        </w:rPr>
        <w:t>，</w:t>
      </w:r>
      <w:r>
        <w:rPr>
          <w:rFonts w:hint="eastAsia"/>
          <w:lang w:val="en-US" w:eastAsia="zh-Hans"/>
        </w:rPr>
        <w:t>就算该销售退货单没有将关联的销售出库单中的商品全部退货</w:t>
      </w:r>
      <w:r>
        <w:rPr>
          <w:rFonts w:hint="default"/>
          <w:lang w:eastAsia="zh-Hans"/>
        </w:rPr>
        <w:t>，</w:t>
      </w:r>
      <w:r>
        <w:rPr>
          <w:rFonts w:hint="eastAsia"/>
          <w:lang w:val="en-US" w:eastAsia="zh-Hans"/>
        </w:rPr>
        <w:t>也不允许对该销售出库单再生成销售退货单进行退货</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销售退货单是否多次关联销售出库单”两参数发生改变时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销售退货单是否关联销售出库单”两参数发生改变时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p>
      <w:pPr>
        <w:numPr>
          <w:ilvl w:val="0"/>
          <w:numId w:val="0"/>
        </w:numPr>
        <w:ind w:leftChars="0"/>
        <w:rPr>
          <w:rFonts w:hint="eastAsia"/>
          <w:lang w:val="en-US" w:eastAsia="zh-Hans"/>
        </w:rPr>
      </w:pP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attachedTemplate r:id="rId1"/>
  <w:documentProtection w:edit="forms" w:enforcement="1" w:cryptProviderType="rsaFull" w:cryptAlgorithmClass="hash" w:cryptAlgorithmType="typeAny" w:cryptAlgorithmSid="4" w:cryptSpinCount="0" w:hash="uv9bO476/S3ayrnMPae7A0pRh9g=" w:salt="pBshOc2Gq+ZcPyjMLcmf5A=="/>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F23097"/>
    <w:rsid w:val="60706084"/>
    <w:rsid w:val="61FA0090"/>
    <w:rsid w:val="62024C5B"/>
    <w:rsid w:val="620A0343"/>
    <w:rsid w:val="63BF9915"/>
    <w:rsid w:val="644A7C36"/>
    <w:rsid w:val="667C2D29"/>
    <w:rsid w:val="68631703"/>
    <w:rsid w:val="68FB6FCD"/>
    <w:rsid w:val="6A89409E"/>
    <w:rsid w:val="6CD358E9"/>
    <w:rsid w:val="6D7B3F42"/>
    <w:rsid w:val="6D9B9CEF"/>
    <w:rsid w:val="6ED7F7CF"/>
    <w:rsid w:val="6EF2DF5B"/>
    <w:rsid w:val="6FDEA253"/>
    <w:rsid w:val="71747AEE"/>
    <w:rsid w:val="72533A70"/>
    <w:rsid w:val="73BFC79A"/>
    <w:rsid w:val="73D957FB"/>
    <w:rsid w:val="74156B18"/>
    <w:rsid w:val="74BA049C"/>
    <w:rsid w:val="74BF937E"/>
    <w:rsid w:val="74DC6990"/>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A746BC"/>
    <w:rsid w:val="7FCF8013"/>
    <w:rsid w:val="7FD3874A"/>
    <w:rsid w:val="7FD905F6"/>
    <w:rsid w:val="7FE7B5DF"/>
    <w:rsid w:val="7FEF074D"/>
    <w:rsid w:val="8359A758"/>
    <w:rsid w:val="9DE7D2C5"/>
    <w:rsid w:val="9E7B6946"/>
    <w:rsid w:val="ABFEC4E9"/>
    <w:rsid w:val="B7EEF96A"/>
    <w:rsid w:val="BB4DC890"/>
    <w:rsid w:val="BBBC2529"/>
    <w:rsid w:val="BD74DA05"/>
    <w:rsid w:val="BDFAB2E0"/>
    <w:rsid w:val="BF4A6B3E"/>
    <w:rsid w:val="C37F5B4E"/>
    <w:rsid w:val="C66BDB02"/>
    <w:rsid w:val="CBDEA47C"/>
    <w:rsid w:val="CBFC5302"/>
    <w:rsid w:val="CFBB6F4F"/>
    <w:rsid w:val="D39FC362"/>
    <w:rsid w:val="D3E2B922"/>
    <w:rsid w:val="D7FE1F4C"/>
    <w:rsid w:val="D7FF3FDD"/>
    <w:rsid w:val="DC3CA34B"/>
    <w:rsid w:val="DDFFC43E"/>
    <w:rsid w:val="DF9F89E3"/>
    <w:rsid w:val="DFEB809D"/>
    <w:rsid w:val="E2CDEB9E"/>
    <w:rsid w:val="E771BFF6"/>
    <w:rsid w:val="E7AE343D"/>
    <w:rsid w:val="E9FB46A4"/>
    <w:rsid w:val="EBBDC689"/>
    <w:rsid w:val="ED349B74"/>
    <w:rsid w:val="EFF86A76"/>
    <w:rsid w:val="EFFBBEE6"/>
    <w:rsid w:val="F3B860A8"/>
    <w:rsid w:val="F4EEA9A1"/>
    <w:rsid w:val="F7DE540A"/>
    <w:rsid w:val="F9FFE461"/>
    <w:rsid w:val="FA9FF8BF"/>
    <w:rsid w:val="FCDF62BE"/>
    <w:rsid w:val="FDB64366"/>
    <w:rsid w:val="FEFE5A26"/>
    <w:rsid w:val="FF538D44"/>
    <w:rsid w:val="FF6FD03E"/>
    <w:rsid w:val="FF7F68FD"/>
    <w:rsid w:val="FF9F5FE9"/>
    <w:rsid w:val="FFB5C865"/>
    <w:rsid w:val="FFDF9E7A"/>
    <w:rsid w:val="FFF15B5B"/>
    <w:rsid w:val="FFF95B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2019-02-24T16:18:00Z</dcterms:created>
  <dc:creator>633951</dc:creator>
  <cp:lastModifiedBy>aiqin</cp:lastModifiedBy>
  <dcterms:modified xsi:type="dcterms:W3CDTF">2022-02-09T22:34:27Z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