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6" w:name="_GoBack"/>
      <w:bookmarkEnd w:id="6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2022年02月11日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_Toc1497421127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Hans"/>
        </w:rPr>
        <w:t>收入项目</w:t>
      </w:r>
      <w:r>
        <w:tab/>
      </w:r>
      <w:r>
        <w:fldChar w:fldCharType="begin"/>
      </w:r>
      <w:r>
        <w:instrText xml:space="preserve"> PAGEREF _Toc1497421127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_Toc796022296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_Toc796022296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_Toc2071091709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_Toc2071091709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_Toc275918940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查看</w:t>
      </w:r>
      <w:r>
        <w:tab/>
      </w:r>
      <w:r>
        <w:fldChar w:fldCharType="begin"/>
      </w:r>
      <w:r>
        <w:instrText xml:space="preserve"> PAGEREF _Toc275918940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_Toc952430707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1.4 修改</w:t>
      </w:r>
      <w:r>
        <w:tab/>
      </w:r>
      <w:r>
        <w:fldChar w:fldCharType="begin"/>
      </w:r>
      <w:r>
        <w:instrText xml:space="preserve"> PAGEREF _Toc952430707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_Toc159787811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1.5 批量启用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停用</w:t>
      </w:r>
      <w:r>
        <w:tab/>
      </w:r>
      <w:r>
        <w:fldChar w:fldCharType="begin"/>
      </w:r>
      <w:r>
        <w:instrText xml:space="preserve"> PAGEREF _Toc159787811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97421127"/>
      <w:r>
        <w:rPr>
          <w:rFonts w:hint="eastAsia"/>
          <w:lang w:val="en-US" w:eastAsia="zh-Hans"/>
        </w:rPr>
        <w:t>收入项目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796022296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本功能用于管理本门店的“收入项目”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2450465"/>
            <wp:effectExtent l="12700" t="12700" r="1397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0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查询条件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编号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收入项目的编号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名称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收入项目的名称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状态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收入项目的状态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可以选择“启用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停用”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默认为“启用”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“操作”列有“查看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修改”按钮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2071091709"/>
      <w:r>
        <w:rPr>
          <w:rFonts w:hint="eastAsia"/>
          <w:lang w:val="en-US" w:eastAsia="zh-Hans"/>
        </w:rPr>
        <w:t>新增</w:t>
      </w:r>
      <w:bookmarkEnd w:id="2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点击列表工具栏中的“新增”按钮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599815" cy="1686560"/>
            <wp:effectExtent l="12700" t="12700" r="19685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86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275918940"/>
      <w:r>
        <w:rPr>
          <w:rFonts w:hint="eastAsia"/>
          <w:lang w:val="en-US" w:eastAsia="zh-Hans"/>
        </w:rPr>
        <w:t>查看</w:t>
      </w:r>
      <w:bookmarkEnd w:id="3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点击每行“操作”列的“查看”按钮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599815" cy="1120775"/>
            <wp:effectExtent l="12700" t="12700" r="19685" b="349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120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4" w:name="_Toc952430707"/>
      <w:r>
        <w:rPr>
          <w:rFonts w:hint="eastAsia"/>
          <w:lang w:val="en-US" w:eastAsia="zh-Hans"/>
        </w:rPr>
        <w:t>修改</w:t>
      </w:r>
      <w:bookmarkEnd w:id="4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点击每行“操作”列的“修改”按钮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3599815" cy="1971675"/>
            <wp:effectExtent l="12700" t="12700" r="19685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5" w:name="_Toc159787811"/>
      <w:r>
        <w:rPr>
          <w:rFonts w:hint="eastAsia"/>
          <w:lang w:val="en-US" w:eastAsia="zh-Hans"/>
        </w:rPr>
        <w:t>批量启用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停用</w:t>
      </w:r>
      <w:bookmarkEnd w:id="5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点击列表工具栏中的“更多”按钮时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2160270" cy="749300"/>
            <wp:effectExtent l="12700" t="12700" r="3683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749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批量启用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是将选择的收入项目批量启用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批量停用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是将选择的收入项目批量停用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提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annotate T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黑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 细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 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61312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414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20655E6"/>
    <w:multiLevelType w:val="singleLevel"/>
    <w:tmpl w:val="620655E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065995"/>
    <w:multiLevelType w:val="singleLevel"/>
    <w:tmpl w:val="6206599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Is2tZAEFo+p1yJIv2yqBltg/r28=" w:salt="PLm+fpiV7wcdJtPEHxUYIg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7ECA39B"/>
    <w:rsid w:val="18457694"/>
    <w:rsid w:val="1A057D25"/>
    <w:rsid w:val="1B352CC5"/>
    <w:rsid w:val="1D3F3D26"/>
    <w:rsid w:val="1E72434F"/>
    <w:rsid w:val="1EB3A752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9F0EFD7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5F96E8E"/>
    <w:rsid w:val="35FFC785"/>
    <w:rsid w:val="36135A65"/>
    <w:rsid w:val="36931708"/>
    <w:rsid w:val="36B251CD"/>
    <w:rsid w:val="36F5ED7E"/>
    <w:rsid w:val="36FA04E4"/>
    <w:rsid w:val="37479D39"/>
    <w:rsid w:val="37FF9957"/>
    <w:rsid w:val="37FFE4DC"/>
    <w:rsid w:val="3ABC7399"/>
    <w:rsid w:val="3AFF611F"/>
    <w:rsid w:val="3B5FA873"/>
    <w:rsid w:val="3BA067BF"/>
    <w:rsid w:val="3C645391"/>
    <w:rsid w:val="3C7837E9"/>
    <w:rsid w:val="3EEE99FB"/>
    <w:rsid w:val="3F7916D9"/>
    <w:rsid w:val="3F930800"/>
    <w:rsid w:val="3FBFC108"/>
    <w:rsid w:val="3FF77666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B33CDB1"/>
    <w:rsid w:val="5DC95CFF"/>
    <w:rsid w:val="5DF7027F"/>
    <w:rsid w:val="5DFD08FA"/>
    <w:rsid w:val="5EEFA1EB"/>
    <w:rsid w:val="5FCF92D5"/>
    <w:rsid w:val="5FF23097"/>
    <w:rsid w:val="60706084"/>
    <w:rsid w:val="61FA0090"/>
    <w:rsid w:val="62024C5B"/>
    <w:rsid w:val="620A0343"/>
    <w:rsid w:val="63BF9915"/>
    <w:rsid w:val="644A7C36"/>
    <w:rsid w:val="667C2D29"/>
    <w:rsid w:val="68631703"/>
    <w:rsid w:val="68FB6FCD"/>
    <w:rsid w:val="6A89409E"/>
    <w:rsid w:val="6BF77A6F"/>
    <w:rsid w:val="6CD358E9"/>
    <w:rsid w:val="6D7B3F42"/>
    <w:rsid w:val="6D9B9CEF"/>
    <w:rsid w:val="6ED7F7CF"/>
    <w:rsid w:val="6EF2DF5B"/>
    <w:rsid w:val="6F7C7BD1"/>
    <w:rsid w:val="6FDEA253"/>
    <w:rsid w:val="71747AEE"/>
    <w:rsid w:val="72533A70"/>
    <w:rsid w:val="73BFC79A"/>
    <w:rsid w:val="73D957FB"/>
    <w:rsid w:val="74156B18"/>
    <w:rsid w:val="74BA049C"/>
    <w:rsid w:val="74BF937E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BFE997B"/>
    <w:rsid w:val="7CDAD40F"/>
    <w:rsid w:val="7DEA2AB3"/>
    <w:rsid w:val="7E7FD700"/>
    <w:rsid w:val="7EFBEA86"/>
    <w:rsid w:val="7EFC980F"/>
    <w:rsid w:val="7F2DFD17"/>
    <w:rsid w:val="7F33443D"/>
    <w:rsid w:val="7F779EA9"/>
    <w:rsid w:val="7FA746BC"/>
    <w:rsid w:val="7FCF8013"/>
    <w:rsid w:val="7FD3874A"/>
    <w:rsid w:val="7FD905F6"/>
    <w:rsid w:val="7FDB7AA9"/>
    <w:rsid w:val="7FDF9C38"/>
    <w:rsid w:val="7FE7B5DF"/>
    <w:rsid w:val="7FEF074D"/>
    <w:rsid w:val="7FFFF1C7"/>
    <w:rsid w:val="8359A758"/>
    <w:rsid w:val="9DE7D2C5"/>
    <w:rsid w:val="9E7B6946"/>
    <w:rsid w:val="ABFEC4E9"/>
    <w:rsid w:val="B7EEF96A"/>
    <w:rsid w:val="BB4DC890"/>
    <w:rsid w:val="BBBC2529"/>
    <w:rsid w:val="BF4A6B3E"/>
    <w:rsid w:val="C37F5B4E"/>
    <w:rsid w:val="C66BDB02"/>
    <w:rsid w:val="CBDEA47C"/>
    <w:rsid w:val="CBFC5302"/>
    <w:rsid w:val="CFBB6F4F"/>
    <w:rsid w:val="D39FC362"/>
    <w:rsid w:val="D3E2B922"/>
    <w:rsid w:val="D62F0E3D"/>
    <w:rsid w:val="D755C082"/>
    <w:rsid w:val="D7FE1F4C"/>
    <w:rsid w:val="D7FF3FDD"/>
    <w:rsid w:val="DC3CA34B"/>
    <w:rsid w:val="DDFFC43E"/>
    <w:rsid w:val="DF9F89E3"/>
    <w:rsid w:val="DFEB809D"/>
    <w:rsid w:val="E2CDEB9E"/>
    <w:rsid w:val="E61FCBA9"/>
    <w:rsid w:val="E771BFF6"/>
    <w:rsid w:val="E7AE343D"/>
    <w:rsid w:val="E9FB46A4"/>
    <w:rsid w:val="EBBDC689"/>
    <w:rsid w:val="ED349B74"/>
    <w:rsid w:val="EFDB9506"/>
    <w:rsid w:val="EFF86A76"/>
    <w:rsid w:val="EFFBBEE6"/>
    <w:rsid w:val="EFFFE648"/>
    <w:rsid w:val="F3B860A8"/>
    <w:rsid w:val="F4EEA9A1"/>
    <w:rsid w:val="F7DE540A"/>
    <w:rsid w:val="F9E25FF4"/>
    <w:rsid w:val="F9FFE461"/>
    <w:rsid w:val="FCDF62BE"/>
    <w:rsid w:val="FDB64366"/>
    <w:rsid w:val="FEFE5A26"/>
    <w:rsid w:val="FF538D44"/>
    <w:rsid w:val="FF6FD03E"/>
    <w:rsid w:val="FF7F68FD"/>
    <w:rsid w:val="FF9F5FE9"/>
    <w:rsid w:val="FFB5C865"/>
    <w:rsid w:val="FFDF9E7A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2019-02-25T08:18:00Z</dcterms:created>
  <dc:creator>633951</dc:creator>
  <cp:lastModifiedBy>aiqin</cp:lastModifiedBy>
  <dcterms:modified xsi:type="dcterms:W3CDTF">2022-02-14T00:01:03Z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