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10" w:name="_GoBack"/>
      <w:bookmarkEnd w:id="10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8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2022年02月11日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_Toc1166123888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Hans"/>
        </w:rPr>
        <w:t>供应商预付款</w:t>
      </w:r>
      <w:r>
        <w:tab/>
      </w:r>
      <w:r>
        <w:fldChar w:fldCharType="begin"/>
      </w:r>
      <w:r>
        <w:instrText xml:space="preserve"> PAGEREF _Toc1166123888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_Toc1108423094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CN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_Toc1108423094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_Toc1993786780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_Toc1993786780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_Toc239583672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1.2.1 新增预付款项目</w:t>
      </w:r>
      <w:r>
        <w:tab/>
      </w:r>
      <w:r>
        <w:fldChar w:fldCharType="begin"/>
      </w:r>
      <w:r>
        <w:instrText xml:space="preserve"> PAGEREF _Toc239583672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_Toc150937179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1.2.2 保存</w:t>
      </w:r>
      <w:r>
        <w:tab/>
      </w:r>
      <w:r>
        <w:fldChar w:fldCharType="begin"/>
      </w:r>
      <w:r>
        <w:instrText xml:space="preserve"> PAGEREF _Toc150937179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_Toc622980346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1.2.3 审核通过</w:t>
      </w:r>
      <w:r>
        <w:tab/>
      </w:r>
      <w:r>
        <w:fldChar w:fldCharType="begin"/>
      </w:r>
      <w:r>
        <w:instrText xml:space="preserve"> PAGEREF _Toc622980346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_Toc1447896097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_Toc1447896097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_Toc1652498122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1.4 审核</w:t>
      </w:r>
      <w:r>
        <w:tab/>
      </w:r>
      <w:r>
        <w:fldChar w:fldCharType="begin"/>
      </w:r>
      <w:r>
        <w:instrText xml:space="preserve"> PAGEREF _Toc1652498122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_Toc129929803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1.4.1 审核通过</w:t>
      </w:r>
      <w:r>
        <w:tab/>
      </w:r>
      <w:r>
        <w:fldChar w:fldCharType="begin"/>
      </w:r>
      <w:r>
        <w:instrText xml:space="preserve"> PAGEREF _Toc129929803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_Toc1886813669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 w:eastAsia="宋体"/>
          <w:lang w:val="en-US" w:eastAsia="zh-Hans"/>
        </w:rPr>
        <w:t xml:space="preserve">1.4.2 </w:t>
      </w:r>
      <w:r>
        <w:rPr>
          <w:rFonts w:hint="eastAsia"/>
          <w:lang w:val="en-US" w:eastAsia="zh-Hans"/>
        </w:rPr>
        <w:t>审核拒绝</w:t>
      </w:r>
      <w:r>
        <w:tab/>
      </w:r>
      <w:r>
        <w:fldChar w:fldCharType="begin"/>
      </w:r>
      <w:r>
        <w:instrText xml:space="preserve"> PAGEREF _Toc1886813669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166123888"/>
      <w:r>
        <w:rPr>
          <w:rFonts w:hint="eastAsia"/>
          <w:lang w:val="en-US" w:eastAsia="zh-Hans"/>
        </w:rPr>
        <w:t>供应商预付款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108423094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本功能用于管理门店对供应商的预付款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6120130" cy="3914140"/>
            <wp:effectExtent l="12700" t="12700" r="13970" b="355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41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1993786780"/>
      <w:r>
        <w:rPr>
          <w:rFonts w:hint="eastAsia"/>
          <w:lang w:val="en-US" w:eastAsia="zh-Hans"/>
        </w:rPr>
        <w:t>新增</w:t>
      </w:r>
      <w:bookmarkEnd w:id="2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点击列表工具栏“新增”按钮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6120130" cy="3828415"/>
            <wp:effectExtent l="12700" t="12700" r="1397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8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Hans"/>
        </w:rPr>
        <w:t>在</w:t>
      </w:r>
      <w:r>
        <w:rPr>
          <w:rFonts w:hint="eastAsia"/>
        </w:rPr>
        <w:t>供应商预付款单界面</w:t>
      </w:r>
      <w:r>
        <w:rPr>
          <w:rFonts w:hint="eastAsia"/>
          <w:lang w:val="en-US" w:eastAsia="zh-Hans"/>
        </w:rPr>
        <w:t>选择预付款“供应商”</w:t>
      </w:r>
      <w:r>
        <w:rPr>
          <w:rFonts w:hint="default"/>
          <w:lang w:eastAsia="zh-Hans"/>
        </w:rPr>
        <w:t>，</w:t>
      </w:r>
      <w:r>
        <w:rPr>
          <w:rFonts w:hint="eastAsia"/>
        </w:rPr>
        <w:t>点击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新增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选择预付款项目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录入预付款金额</w:t>
      </w:r>
      <w:r>
        <w:rPr>
          <w:rFonts w:hint="default"/>
          <w:lang w:eastAsia="zh-Hans"/>
        </w:rPr>
        <w:t>，</w:t>
      </w:r>
      <w:r>
        <w:rPr>
          <w:rFonts w:hint="eastAsia"/>
        </w:rPr>
        <w:t>确认无误，保存审核单据</w:t>
      </w:r>
      <w:r>
        <w:rPr>
          <w:rFonts w:hint="eastAsia"/>
          <w:lang w:val="en-US" w:eastAsia="zh-Hans"/>
        </w:rPr>
        <w:t>即可</w:t>
      </w:r>
      <w:r>
        <w:rPr>
          <w:rFonts w:hint="eastAsia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3" w:name="_Toc239583672"/>
      <w:r>
        <w:rPr>
          <w:rFonts w:hint="eastAsia"/>
          <w:lang w:val="en-US" w:eastAsia="zh-Hans"/>
        </w:rPr>
        <w:t>新增预付款项目</w:t>
      </w:r>
      <w:bookmarkEnd w:id="3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点击页面中的“新增”按钮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6120130" cy="2094865"/>
            <wp:effectExtent l="12700" t="12700" r="13970" b="260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48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选择预付款项目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drawing>
          <wp:inline distT="0" distB="0" distL="114300" distR="114300">
            <wp:extent cx="4319905" cy="2692400"/>
            <wp:effectExtent l="12700" t="12700" r="3619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69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录入预付款金额</w:t>
      </w:r>
      <w:r>
        <w:rPr>
          <w:rFonts w:hint="default"/>
          <w:lang w:eastAsia="zh-Hans"/>
        </w:rPr>
        <w:t>。</w:t>
      </w:r>
    </w:p>
    <w:p>
      <w:pPr>
        <w:rPr>
          <w:rFonts w:hint="eastAsia" w:eastAsia="宋体"/>
          <w:b/>
          <w:bCs/>
          <w:lang w:val="en-US" w:eastAsia="zh-Hans"/>
        </w:rPr>
      </w:pPr>
      <w:r>
        <w:drawing>
          <wp:inline distT="0" distB="0" distL="114300" distR="114300">
            <wp:extent cx="6120130" cy="2011045"/>
            <wp:effectExtent l="12700" t="12700" r="13970" b="336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10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4" w:name="_Toc150937179"/>
      <w:r>
        <w:rPr>
          <w:rFonts w:hint="eastAsia"/>
          <w:lang w:val="en-US" w:eastAsia="zh-Hans"/>
        </w:rPr>
        <w:t>保存</w:t>
      </w:r>
      <w:bookmarkEnd w:id="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点击供应商预付款页面下方的“保存”按钮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即可保存已录入的供应商预付款单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保存成功之后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供应商预付款单的审核状态为“待审核”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5" w:name="_Toc622980346"/>
      <w:r>
        <w:rPr>
          <w:rFonts w:hint="eastAsia"/>
          <w:lang w:val="en-US" w:eastAsia="zh-Hans"/>
        </w:rPr>
        <w:t>审核通过</w:t>
      </w:r>
      <w:bookmarkEnd w:id="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点击供应商预付款页面下方的“审核通过”按钮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即可审核已录入的供应商预付款单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审核成功之后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供应商预付款单的审核状态为“审核通过”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6" w:name="_Toc1447896097"/>
      <w:r>
        <w:rPr>
          <w:rFonts w:hint="eastAsia"/>
          <w:lang w:val="en-US" w:eastAsia="zh-Hans"/>
        </w:rPr>
        <w:t>修改</w:t>
      </w:r>
      <w:bookmarkEnd w:id="6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用户可以对审核状态是“待审核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审核拒绝”的供应商预付款单进行修改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点击供应商预付款单对应的“操作”列中的“修改”按钮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drawing>
          <wp:inline distT="0" distB="0" distL="114300" distR="114300">
            <wp:extent cx="6120130" cy="3681730"/>
            <wp:effectExtent l="12700" t="12700" r="1397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17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如果此时供应商预付款单的审核状态是“审核拒绝”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那么页面如下图所示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6120130" cy="3839845"/>
            <wp:effectExtent l="12700" t="12700" r="13970" b="336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98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7" w:name="_Toc1652498122"/>
      <w:r>
        <w:rPr>
          <w:rFonts w:hint="eastAsia"/>
          <w:lang w:val="en-US" w:eastAsia="zh-Hans"/>
        </w:rPr>
        <w:t>审核</w:t>
      </w:r>
      <w:bookmarkEnd w:id="7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用户可以对审核状态是“待审核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审核拒绝”的供应商预付款单进行审核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点击供应商预付款单对应的“操作”列中的“审核”按钮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drawing>
          <wp:inline distT="0" distB="0" distL="114300" distR="114300">
            <wp:extent cx="6120130" cy="3683635"/>
            <wp:effectExtent l="12700" t="12700" r="13970" b="374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36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如果供应商预付款单的审核状态是“审核拒绝”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那么不允许再次“审核拒绝”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6120130" cy="3832225"/>
            <wp:effectExtent l="12700" t="12700" r="1397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rcRect b="57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8" w:name="_Toc129929803"/>
      <w:r>
        <w:rPr>
          <w:rFonts w:hint="eastAsia"/>
          <w:lang w:val="en-US" w:eastAsia="zh-Hans"/>
        </w:rPr>
        <w:t>审核通过</w:t>
      </w:r>
      <w:bookmarkEnd w:id="8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点击“审核通过”按钮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2879725" cy="868680"/>
            <wp:effectExtent l="12700" t="12700" r="28575" b="330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rcRect b="373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8686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点击“确定”按钮后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即可审核通过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rPr>
          <w:rFonts w:hint="eastAsia" w:eastAsia="宋体"/>
          <w:lang w:val="en-US" w:eastAsia="zh-Hans"/>
        </w:rPr>
      </w:pPr>
      <w:bookmarkStart w:id="9" w:name="_Toc1886813669"/>
      <w:r>
        <w:rPr>
          <w:rFonts w:hint="eastAsia"/>
          <w:lang w:val="en-US" w:eastAsia="zh-Hans"/>
        </w:rPr>
        <w:t>审核拒绝</w:t>
      </w:r>
      <w:bookmarkEnd w:id="9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点击“审核拒绝”按钮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2879725" cy="1310005"/>
            <wp:effectExtent l="12700" t="12700" r="28575" b="2349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rcRect t="6066" b="454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310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录入“拒绝理由”后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点击“确定”按钮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即可审核拒绝</w:t>
      </w:r>
      <w:r>
        <w:rPr>
          <w:rFonts w:hint="default"/>
          <w:lang w:eastAsia="zh-Hans"/>
        </w:rPr>
        <w:t>。</w:t>
      </w:r>
    </w:p>
    <w:sectPr>
      <w:footerReference r:id="rId5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 New R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提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annotate TC Bold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黑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繁 细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 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o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字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字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ademy Engraved LE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e 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61312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VPnXK1gAAAAYBAAAPAAAAAAAAAAEAIAAAADgAAABkcnMvZG93bnJldi54bWxQ&#10;SwECFAAUAAAACACHTuJA+3kyxBwCAAAWBAAADgAAAAAAAAABACAAAAA7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4144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Pi95muQTEJ4kFgOKGsty7eplS04=" w:salt="iVELsFkzVtRel+EaXclQvg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0FFF4CFF"/>
    <w:rsid w:val="103C6922"/>
    <w:rsid w:val="113E79FE"/>
    <w:rsid w:val="118C6689"/>
    <w:rsid w:val="143D62E4"/>
    <w:rsid w:val="14C16D16"/>
    <w:rsid w:val="173550F9"/>
    <w:rsid w:val="18457694"/>
    <w:rsid w:val="19BFA8FF"/>
    <w:rsid w:val="1A057D25"/>
    <w:rsid w:val="1B352CC5"/>
    <w:rsid w:val="1D3F3D26"/>
    <w:rsid w:val="1E72434F"/>
    <w:rsid w:val="1EFF6A6D"/>
    <w:rsid w:val="1F66A88A"/>
    <w:rsid w:val="1FBF1DCB"/>
    <w:rsid w:val="1FFD860A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DAF21D9"/>
    <w:rsid w:val="2E7062F6"/>
    <w:rsid w:val="2F1E5115"/>
    <w:rsid w:val="2F7F2217"/>
    <w:rsid w:val="2FB3A6A3"/>
    <w:rsid w:val="2FD9D575"/>
    <w:rsid w:val="313D69C0"/>
    <w:rsid w:val="316A494B"/>
    <w:rsid w:val="31E923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645391"/>
    <w:rsid w:val="3C7837E9"/>
    <w:rsid w:val="3DF73A66"/>
    <w:rsid w:val="3EEE99FB"/>
    <w:rsid w:val="3F7916D9"/>
    <w:rsid w:val="3F8924AA"/>
    <w:rsid w:val="3F930800"/>
    <w:rsid w:val="3F9EA701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5FF7B64"/>
    <w:rsid w:val="46E33C79"/>
    <w:rsid w:val="46F4337A"/>
    <w:rsid w:val="47516AFB"/>
    <w:rsid w:val="47D9E842"/>
    <w:rsid w:val="4ACE6A97"/>
    <w:rsid w:val="4B2D2322"/>
    <w:rsid w:val="4C6729E7"/>
    <w:rsid w:val="4CBD5C8E"/>
    <w:rsid w:val="4DFF3EA3"/>
    <w:rsid w:val="4E34164E"/>
    <w:rsid w:val="4ECD062C"/>
    <w:rsid w:val="4ED74197"/>
    <w:rsid w:val="4FDDF61D"/>
    <w:rsid w:val="4FF177C1"/>
    <w:rsid w:val="521E25FE"/>
    <w:rsid w:val="52947577"/>
    <w:rsid w:val="54DC424A"/>
    <w:rsid w:val="557FF667"/>
    <w:rsid w:val="55986B9A"/>
    <w:rsid w:val="56095D5A"/>
    <w:rsid w:val="569C0136"/>
    <w:rsid w:val="56D513F8"/>
    <w:rsid w:val="57FD1895"/>
    <w:rsid w:val="58FDBE8D"/>
    <w:rsid w:val="59FFD67E"/>
    <w:rsid w:val="5A4951AD"/>
    <w:rsid w:val="5A581871"/>
    <w:rsid w:val="5A6A3211"/>
    <w:rsid w:val="5ABDBCE7"/>
    <w:rsid w:val="5AFED57A"/>
    <w:rsid w:val="5CBFF3AD"/>
    <w:rsid w:val="5DC95CFF"/>
    <w:rsid w:val="5DFD08FA"/>
    <w:rsid w:val="5EEFA1EB"/>
    <w:rsid w:val="5FF23097"/>
    <w:rsid w:val="5FF79F29"/>
    <w:rsid w:val="60706084"/>
    <w:rsid w:val="61FA0090"/>
    <w:rsid w:val="62024C5B"/>
    <w:rsid w:val="620A0343"/>
    <w:rsid w:val="644A7C36"/>
    <w:rsid w:val="667C2D29"/>
    <w:rsid w:val="68631703"/>
    <w:rsid w:val="68FB6FCD"/>
    <w:rsid w:val="6A89409E"/>
    <w:rsid w:val="6CD358E9"/>
    <w:rsid w:val="6D9B9CEF"/>
    <w:rsid w:val="6DFF058B"/>
    <w:rsid w:val="6ED7F7CF"/>
    <w:rsid w:val="6EF2DF5B"/>
    <w:rsid w:val="6EFE21BE"/>
    <w:rsid w:val="6EFF8D75"/>
    <w:rsid w:val="6F4FB233"/>
    <w:rsid w:val="6FDEA253"/>
    <w:rsid w:val="70D307D9"/>
    <w:rsid w:val="71747AEE"/>
    <w:rsid w:val="72533A70"/>
    <w:rsid w:val="73BB2D60"/>
    <w:rsid w:val="73BFC79A"/>
    <w:rsid w:val="73D957FB"/>
    <w:rsid w:val="74156B18"/>
    <w:rsid w:val="74BA049C"/>
    <w:rsid w:val="74BE52A3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9F56632"/>
    <w:rsid w:val="79F8EB93"/>
    <w:rsid w:val="79FFF756"/>
    <w:rsid w:val="7A3BC8BE"/>
    <w:rsid w:val="7A421820"/>
    <w:rsid w:val="7A591825"/>
    <w:rsid w:val="7AF50305"/>
    <w:rsid w:val="7B59044A"/>
    <w:rsid w:val="7B77196D"/>
    <w:rsid w:val="7BA96B5B"/>
    <w:rsid w:val="7CDAD40F"/>
    <w:rsid w:val="7DEA2AB3"/>
    <w:rsid w:val="7E79626E"/>
    <w:rsid w:val="7E7FD700"/>
    <w:rsid w:val="7F2DFD17"/>
    <w:rsid w:val="7F33443D"/>
    <w:rsid w:val="7F5EEE65"/>
    <w:rsid w:val="7FA746BC"/>
    <w:rsid w:val="7FCF8013"/>
    <w:rsid w:val="7FD905F6"/>
    <w:rsid w:val="7FE7B5DF"/>
    <w:rsid w:val="7FEF074D"/>
    <w:rsid w:val="7FFDCAB8"/>
    <w:rsid w:val="7FFF579A"/>
    <w:rsid w:val="7FFFF89A"/>
    <w:rsid w:val="8359A758"/>
    <w:rsid w:val="873FB821"/>
    <w:rsid w:val="91FFD560"/>
    <w:rsid w:val="9DE7D2C5"/>
    <w:rsid w:val="9E7B6946"/>
    <w:rsid w:val="9FDDD0CA"/>
    <w:rsid w:val="A7BD2A24"/>
    <w:rsid w:val="ABFEC4E9"/>
    <w:rsid w:val="AE0B2A7D"/>
    <w:rsid w:val="B5EE8D41"/>
    <w:rsid w:val="B7353562"/>
    <w:rsid w:val="B7EEF96A"/>
    <w:rsid w:val="B9FFCDFD"/>
    <w:rsid w:val="BB4DC890"/>
    <w:rsid w:val="BBBC2529"/>
    <w:rsid w:val="BF4A6B3E"/>
    <w:rsid w:val="C37F5B4E"/>
    <w:rsid w:val="C66BDB02"/>
    <w:rsid w:val="CBDEA47C"/>
    <w:rsid w:val="CBFC5302"/>
    <w:rsid w:val="CFBB6F4F"/>
    <w:rsid w:val="D39FC362"/>
    <w:rsid w:val="D3E2B922"/>
    <w:rsid w:val="D7FF3FDD"/>
    <w:rsid w:val="D7FF8264"/>
    <w:rsid w:val="DDFFC43E"/>
    <w:rsid w:val="DF9F89E3"/>
    <w:rsid w:val="DFFE6F82"/>
    <w:rsid w:val="E2CDEB9E"/>
    <w:rsid w:val="E771BFF6"/>
    <w:rsid w:val="E7AE343D"/>
    <w:rsid w:val="E7DE25B6"/>
    <w:rsid w:val="E9FB46A4"/>
    <w:rsid w:val="EBBDC689"/>
    <w:rsid w:val="ED349B74"/>
    <w:rsid w:val="EFF86A76"/>
    <w:rsid w:val="EFFBBEE6"/>
    <w:rsid w:val="F3B860A8"/>
    <w:rsid w:val="F5BD2555"/>
    <w:rsid w:val="F5DF015A"/>
    <w:rsid w:val="F7DE540A"/>
    <w:rsid w:val="FBBF55C8"/>
    <w:rsid w:val="FCDF62BE"/>
    <w:rsid w:val="FDB64366"/>
    <w:rsid w:val="FDFF409C"/>
    <w:rsid w:val="FEF9943F"/>
    <w:rsid w:val="FEFE5A26"/>
    <w:rsid w:val="FEFEDCEF"/>
    <w:rsid w:val="FF538D44"/>
    <w:rsid w:val="FF6FD03E"/>
    <w:rsid w:val="FF7F68FD"/>
    <w:rsid w:val="FFE95E12"/>
    <w:rsid w:val="FFEF94B0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2019-02-24T16:18:00Z</dcterms:created>
  <dc:creator>633951</dc:creator>
  <cp:lastModifiedBy>aiqin</cp:lastModifiedBy>
  <dcterms:modified xsi:type="dcterms:W3CDTF">2022-02-14T00:01:38Z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