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AAE3" w14:textId="00A7EB9F" w:rsidR="00914935" w:rsidRPr="00015B41" w:rsidRDefault="00914935" w:rsidP="00914935">
      <w:pPr>
        <w:jc w:val="center"/>
        <w:rPr>
          <w:i/>
          <w:iCs/>
          <w:color w:val="0070C0"/>
          <w:sz w:val="24"/>
          <w:szCs w:val="24"/>
        </w:rPr>
      </w:pPr>
      <w:r w:rsidRPr="00015B41">
        <w:rPr>
          <w:b/>
          <w:bCs/>
          <w:color w:val="0070C0"/>
          <w:sz w:val="32"/>
          <w:szCs w:val="32"/>
        </w:rPr>
        <w:t>GeoDT</w:t>
      </w:r>
      <w:r w:rsidR="00EE4913" w:rsidRPr="00015B41">
        <w:rPr>
          <w:b/>
          <w:bCs/>
          <w:color w:val="0070C0"/>
          <w:sz w:val="32"/>
          <w:szCs w:val="32"/>
        </w:rPr>
        <w:t xml:space="preserve"> </w:t>
      </w:r>
      <w:r w:rsidR="00AA6825">
        <w:rPr>
          <w:b/>
          <w:bCs/>
          <w:color w:val="0070C0"/>
          <w:sz w:val="32"/>
          <w:szCs w:val="32"/>
        </w:rPr>
        <w:t>Documentation</w:t>
      </w:r>
      <w:r w:rsidRPr="00015B41">
        <w:rPr>
          <w:b/>
          <w:bCs/>
          <w:color w:val="0070C0"/>
          <w:sz w:val="24"/>
          <w:szCs w:val="24"/>
        </w:rPr>
        <w:br/>
      </w:r>
      <w:r w:rsidRPr="00015B41">
        <w:rPr>
          <w:i/>
          <w:iCs/>
          <w:color w:val="0070C0"/>
          <w:sz w:val="24"/>
          <w:szCs w:val="24"/>
        </w:rPr>
        <w:t>Luke P. Frash</w:t>
      </w:r>
    </w:p>
    <w:p w14:paraId="36F6398B" w14:textId="7616CB33" w:rsidR="00914935" w:rsidRDefault="00914935" w:rsidP="00914935">
      <w:r>
        <w:t>This</w:t>
      </w:r>
      <w:r w:rsidR="00C446B6">
        <w:t xml:space="preserve"> documentation presents the data and methods used by GeoDT. T</w:t>
      </w:r>
      <w:r>
        <w:t xml:space="preserve">his </w:t>
      </w:r>
      <w:r w:rsidR="00EE4913">
        <w:t xml:space="preserve">is a working </w:t>
      </w:r>
      <w:r>
        <w:t xml:space="preserve">document </w:t>
      </w:r>
      <w:r w:rsidR="00EE4913">
        <w:t xml:space="preserve">and therefore </w:t>
      </w:r>
      <w:r>
        <w:t>subject to change</w:t>
      </w:r>
      <w:r w:rsidR="00EE4913">
        <w:t>. Feedback and questions are appreciated.</w:t>
      </w:r>
    </w:p>
    <w:p w14:paraId="3F73263D" w14:textId="19AE932B" w:rsidR="00914935" w:rsidRDefault="007C09C6" w:rsidP="001F4825">
      <w:pPr>
        <w:pStyle w:val="Heading1"/>
        <w:spacing w:before="120" w:after="0"/>
      </w:pPr>
      <w:r>
        <w:t>Overview</w:t>
      </w:r>
    </w:p>
    <w:p w14:paraId="706918A2" w14:textId="6202753F" w:rsidR="00C446B6" w:rsidRDefault="00C446B6" w:rsidP="002315E3">
      <w:r>
        <w:t>Geothermal Design Tool evaluates fracture dominated geothermal reservoir performance and the associated economic performance. The tool is optimized for ensemble analysis and with the goal of helping to better inform high-level decision making when system uncertainty is high. In general, the predictions from GeoDT are less precise than a high-fidelity numerical simulator, such as ResFrac. However, the solutions can investigate a broader uncertainty space. This enables comprehensive evaluations when the design options are infinite.</w:t>
      </w:r>
    </w:p>
    <w:p w14:paraId="379F6373" w14:textId="17BD161F" w:rsidR="001F4825" w:rsidRDefault="00C446B6" w:rsidP="001F4825">
      <w:pPr>
        <w:pStyle w:val="Heading1"/>
      </w:pPr>
      <w:r>
        <w:t>Workflow</w:t>
      </w:r>
    </w:p>
    <w:p w14:paraId="5CF247B1" w14:textId="2F20D0F0" w:rsidR="00D51010" w:rsidRPr="00D51010" w:rsidRDefault="00272178" w:rsidP="00D51010">
      <w:r>
        <w:t>Optimized for computational efficiency, the workflow used by GeoDT uses sequential coupling of physics and economics modules (</w:t>
      </w:r>
      <w:r>
        <w:fldChar w:fldCharType="begin"/>
      </w:r>
      <w:r>
        <w:instrText xml:space="preserve"> REF _Ref209879076 \h </w:instrText>
      </w:r>
      <w:r>
        <w:fldChar w:fldCharType="separate"/>
      </w:r>
      <w:r w:rsidR="005D1BFA">
        <w:t xml:space="preserve">Figure </w:t>
      </w:r>
      <w:r w:rsidR="005D1BFA">
        <w:rPr>
          <w:noProof/>
        </w:rPr>
        <w:t>1</w:t>
      </w:r>
      <w:r>
        <w:fldChar w:fldCharType="end"/>
      </w:r>
      <w:r>
        <w:t xml:space="preserve">). When required, iteration is used within each module and between modules. </w:t>
      </w:r>
      <w:r w:rsidR="00032F73">
        <w:t>This includes Newton-Raphson iteration in the flow solver and guess-check iteration in the heat solver. Sequential iteration between the flow solver and fractures-and-wells module is used to simulate three-dimensional pressure-dependent fracture activation and growth. Sequential iteration between the heat solver and the flow solver is used to update flow results with temperature dependent properties.</w:t>
      </w:r>
    </w:p>
    <w:p w14:paraId="2C185679" w14:textId="0D8D7CEA" w:rsidR="00D51010" w:rsidRDefault="00F83C06" w:rsidP="00D51010">
      <w:pPr>
        <w:keepNext/>
      </w:pPr>
      <w:r w:rsidRPr="00F83C06">
        <w:drawing>
          <wp:inline distT="0" distB="0" distL="0" distR="0" wp14:anchorId="07FDC672" wp14:editId="701DAD13">
            <wp:extent cx="5943600" cy="2771775"/>
            <wp:effectExtent l="0" t="0" r="0" b="9525"/>
            <wp:docPr id="104" name="Picture 103" descr="A screenshot of a computer&#10;&#10;AI-generated content may be incorrect.">
              <a:extLst xmlns:a="http://schemas.openxmlformats.org/drawingml/2006/main">
                <a:ext uri="{FF2B5EF4-FFF2-40B4-BE49-F238E27FC236}">
                  <a16:creationId xmlns:a16="http://schemas.microsoft.com/office/drawing/2014/main" id="{668DFDEE-7FCF-566C-1602-B3148440E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descr="A screenshot of a computer&#10;&#10;AI-generated content may be incorrect.">
                      <a:extLst>
                        <a:ext uri="{FF2B5EF4-FFF2-40B4-BE49-F238E27FC236}">
                          <a16:creationId xmlns:a16="http://schemas.microsoft.com/office/drawing/2014/main" id="{668DFDEE-7FCF-566C-1602-B3148440EFEB}"/>
                        </a:ext>
                      </a:extLst>
                    </pic:cNvPr>
                    <pic:cNvPicPr>
                      <a:picLocks noChangeAspect="1"/>
                    </pic:cNvPicPr>
                  </pic:nvPicPr>
                  <pic:blipFill>
                    <a:blip r:embed="rId6"/>
                    <a:stretch>
                      <a:fillRect/>
                    </a:stretch>
                  </pic:blipFill>
                  <pic:spPr>
                    <a:xfrm>
                      <a:off x="0" y="0"/>
                      <a:ext cx="5943600" cy="2771775"/>
                    </a:xfrm>
                    <a:prstGeom prst="rect">
                      <a:avLst/>
                    </a:prstGeom>
                  </pic:spPr>
                </pic:pic>
              </a:graphicData>
            </a:graphic>
          </wp:inline>
        </w:drawing>
      </w:r>
    </w:p>
    <w:p w14:paraId="239DC63C" w14:textId="3AAFA62A" w:rsidR="00D51010" w:rsidRDefault="00D51010" w:rsidP="00D51010">
      <w:pPr>
        <w:pStyle w:val="Caption"/>
      </w:pPr>
      <w:bookmarkStart w:id="0" w:name="_Ref209879076"/>
      <w:r>
        <w:t xml:space="preserve">Figure </w:t>
      </w:r>
      <w:r>
        <w:fldChar w:fldCharType="begin"/>
      </w:r>
      <w:r>
        <w:instrText xml:space="preserve"> SEQ Figure \* ARABIC </w:instrText>
      </w:r>
      <w:r>
        <w:fldChar w:fldCharType="separate"/>
      </w:r>
      <w:r w:rsidR="005D1BFA">
        <w:rPr>
          <w:noProof/>
        </w:rPr>
        <w:t>1</w:t>
      </w:r>
      <w:r>
        <w:fldChar w:fldCharType="end"/>
      </w:r>
      <w:bookmarkEnd w:id="0"/>
      <w:r>
        <w:t xml:space="preserve">. Typical workflow for a GeoDT batch simulation with stochastic model inputs. </w:t>
      </w:r>
      <w:r w:rsidR="00272178">
        <w:t>Data flow and i</w:t>
      </w:r>
      <w:r>
        <w:t>terative loops within and between modules are indicated by arrows.</w:t>
      </w:r>
    </w:p>
    <w:p w14:paraId="7FAD73D9" w14:textId="2B0EBA08" w:rsidR="003B09C6" w:rsidRDefault="00032F73" w:rsidP="00032F73">
      <w:r>
        <w:t>Coupling between pressure-dependent fracture parameters (e.g., fracture conductivity as a function of net pressure) introduces severe numerical instabilities when these processes are tightly-coupled. Sequential coupling and adaptive boundary conditions help to solve these numerical instabilities.</w:t>
      </w:r>
    </w:p>
    <w:p w14:paraId="4A13C712" w14:textId="0EE6C698" w:rsidR="00D266D3" w:rsidRDefault="009A31D6" w:rsidP="00D266D3">
      <w:pPr>
        <w:pStyle w:val="Heading1"/>
      </w:pPr>
      <w:r>
        <w:lastRenderedPageBreak/>
        <w:t xml:space="preserve">GeoDT </w:t>
      </w:r>
      <w:r w:rsidR="00B05AA6">
        <w:t xml:space="preserve">Reservoir </w:t>
      </w:r>
      <w:r>
        <w:t>Solver</w:t>
      </w:r>
      <w:r w:rsidR="00B05AA6">
        <w:t>s</w:t>
      </w:r>
    </w:p>
    <w:p w14:paraId="658BB81B" w14:textId="02574FD1" w:rsidR="00D266D3" w:rsidRDefault="009A31D6" w:rsidP="00D266D3">
      <w:r>
        <w:t>GeoDT offers two heat and flow solvers (</w:t>
      </w:r>
      <w:r>
        <w:fldChar w:fldCharType="begin"/>
      </w:r>
      <w:r>
        <w:instrText xml:space="preserve"> REF _Ref209886247 \h </w:instrText>
      </w:r>
      <w:r>
        <w:fldChar w:fldCharType="separate"/>
      </w:r>
      <w:r w:rsidR="005D1BFA">
        <w:t xml:space="preserve">Table </w:t>
      </w:r>
      <w:r w:rsidR="005D1BFA">
        <w:rPr>
          <w:noProof/>
        </w:rPr>
        <w:t>1</w:t>
      </w:r>
      <w:r>
        <w:fldChar w:fldCharType="end"/>
      </w:r>
      <w:r>
        <w:t xml:space="preserve">). The basic solver is called by Strategy_Solver_type ‘gg’ and is best suited for moderate to high flow EGS with systematic fracture heterogeneity with no natural fractures. The advanced solver is called by Strategy_Solver_type ‘gt’ and is best suited for systems having permeable natural fractures. </w:t>
      </w:r>
    </w:p>
    <w:p w14:paraId="5A34F842" w14:textId="3CFFD466" w:rsidR="009A31D6" w:rsidRDefault="009A31D6" w:rsidP="009A31D6">
      <w:pPr>
        <w:pStyle w:val="Caption"/>
        <w:keepNext/>
      </w:pPr>
      <w:bookmarkStart w:id="1" w:name="_Ref209886247"/>
      <w:r>
        <w:t xml:space="preserve">Table </w:t>
      </w:r>
      <w:r>
        <w:fldChar w:fldCharType="begin"/>
      </w:r>
      <w:r>
        <w:instrText xml:space="preserve"> SEQ Table \* ARABIC </w:instrText>
      </w:r>
      <w:r>
        <w:fldChar w:fldCharType="separate"/>
      </w:r>
      <w:r w:rsidR="005D1BFA">
        <w:rPr>
          <w:noProof/>
        </w:rPr>
        <w:t>1</w:t>
      </w:r>
      <w:r>
        <w:fldChar w:fldCharType="end"/>
      </w:r>
      <w:bookmarkEnd w:id="1"/>
      <w:r>
        <w:t>. GeoDT solver options.</w:t>
      </w:r>
    </w:p>
    <w:tbl>
      <w:tblPr>
        <w:tblStyle w:val="TableGrid"/>
        <w:tblW w:w="0" w:type="auto"/>
        <w:tblLook w:val="04A0" w:firstRow="1" w:lastRow="0" w:firstColumn="1" w:lastColumn="0" w:noHBand="0" w:noVBand="1"/>
      </w:tblPr>
      <w:tblGrid>
        <w:gridCol w:w="3116"/>
        <w:gridCol w:w="3117"/>
        <w:gridCol w:w="3117"/>
      </w:tblGrid>
      <w:tr w:rsidR="009A31D6" w14:paraId="3EFBD1AF" w14:textId="77777777" w:rsidTr="009A31D6">
        <w:tc>
          <w:tcPr>
            <w:tcW w:w="3116" w:type="dxa"/>
            <w:shd w:val="clear" w:color="auto" w:fill="CAEDFB" w:themeFill="accent4" w:themeFillTint="33"/>
          </w:tcPr>
          <w:p w14:paraId="231EC079" w14:textId="33179BD9" w:rsidR="009A31D6" w:rsidRPr="009A31D6" w:rsidRDefault="009A31D6" w:rsidP="00D266D3">
            <w:pPr>
              <w:rPr>
                <w:b/>
                <w:bCs/>
              </w:rPr>
            </w:pPr>
            <w:r w:rsidRPr="009A31D6">
              <w:rPr>
                <w:b/>
                <w:bCs/>
              </w:rPr>
              <w:t>Solver Type</w:t>
            </w:r>
          </w:p>
        </w:tc>
        <w:tc>
          <w:tcPr>
            <w:tcW w:w="3117" w:type="dxa"/>
            <w:shd w:val="clear" w:color="auto" w:fill="CAEDFB" w:themeFill="accent4" w:themeFillTint="33"/>
          </w:tcPr>
          <w:p w14:paraId="6DCA99C7" w14:textId="15C763D2" w:rsidR="009A31D6" w:rsidRPr="009A31D6" w:rsidRDefault="009A31D6" w:rsidP="00D266D3">
            <w:pPr>
              <w:rPr>
                <w:b/>
                <w:bCs/>
              </w:rPr>
            </w:pPr>
            <w:r w:rsidRPr="009A31D6">
              <w:rPr>
                <w:b/>
                <w:bCs/>
              </w:rPr>
              <w:t>Basic (‘gg’)</w:t>
            </w:r>
          </w:p>
        </w:tc>
        <w:tc>
          <w:tcPr>
            <w:tcW w:w="3117" w:type="dxa"/>
            <w:shd w:val="clear" w:color="auto" w:fill="CAEDFB" w:themeFill="accent4" w:themeFillTint="33"/>
          </w:tcPr>
          <w:p w14:paraId="107A4D80" w14:textId="41837CCB" w:rsidR="009A31D6" w:rsidRPr="009A31D6" w:rsidRDefault="009A31D6" w:rsidP="00D266D3">
            <w:pPr>
              <w:rPr>
                <w:b/>
                <w:bCs/>
              </w:rPr>
            </w:pPr>
            <w:r w:rsidRPr="009A31D6">
              <w:rPr>
                <w:b/>
                <w:bCs/>
              </w:rPr>
              <w:t>Advanced (‘gt’)</w:t>
            </w:r>
          </w:p>
        </w:tc>
      </w:tr>
      <w:tr w:rsidR="009A31D6" w14:paraId="7764590A" w14:textId="77777777" w:rsidTr="009A31D6">
        <w:tc>
          <w:tcPr>
            <w:tcW w:w="3116" w:type="dxa"/>
          </w:tcPr>
          <w:p w14:paraId="5DA80A87" w14:textId="4E09F602" w:rsidR="009A31D6" w:rsidRDefault="009A31D6" w:rsidP="00D266D3">
            <w:r>
              <w:t>Theoretical Basis</w:t>
            </w:r>
          </w:p>
        </w:tc>
        <w:tc>
          <w:tcPr>
            <w:tcW w:w="3117" w:type="dxa"/>
          </w:tcPr>
          <w:p w14:paraId="12A8C2B9" w14:textId="7C1E825F" w:rsidR="009A31D6" w:rsidRDefault="009A31D6" w:rsidP="00D266D3">
            <w:r>
              <w:t>Gringarten et al., 1975</w:t>
            </w:r>
          </w:p>
        </w:tc>
        <w:tc>
          <w:tcPr>
            <w:tcW w:w="3117" w:type="dxa"/>
          </w:tcPr>
          <w:p w14:paraId="6F42F956" w14:textId="3DB4B375" w:rsidR="009A31D6" w:rsidRDefault="009A31D6" w:rsidP="00D266D3">
            <w:r>
              <w:t>Frash, 2021</w:t>
            </w:r>
          </w:p>
        </w:tc>
      </w:tr>
      <w:tr w:rsidR="009A31D6" w14:paraId="5104808C" w14:textId="77777777" w:rsidTr="009A31D6">
        <w:tc>
          <w:tcPr>
            <w:tcW w:w="3116" w:type="dxa"/>
          </w:tcPr>
          <w:p w14:paraId="7A6C3EE7" w14:textId="553BBCC9" w:rsidR="009A31D6" w:rsidRDefault="009A31D6" w:rsidP="00D266D3">
            <w:r>
              <w:t>Solver Speed</w:t>
            </w:r>
          </w:p>
        </w:tc>
        <w:tc>
          <w:tcPr>
            <w:tcW w:w="3117" w:type="dxa"/>
          </w:tcPr>
          <w:p w14:paraId="25B62D7D" w14:textId="4FFF4A39" w:rsidR="009A31D6" w:rsidRDefault="009A31D6" w:rsidP="00D266D3">
            <w:r>
              <w:t>Fastest (&lt;1 s/model)</w:t>
            </w:r>
          </w:p>
        </w:tc>
        <w:tc>
          <w:tcPr>
            <w:tcW w:w="3117" w:type="dxa"/>
          </w:tcPr>
          <w:p w14:paraId="58FBDAC4" w14:textId="18E3056E" w:rsidR="009A31D6" w:rsidRDefault="009A31D6" w:rsidP="00D266D3">
            <w:r>
              <w:t>Fast (15 s/model)</w:t>
            </w:r>
          </w:p>
        </w:tc>
      </w:tr>
      <w:tr w:rsidR="009A31D6" w14:paraId="16AFD6D1" w14:textId="77777777" w:rsidTr="009A31D6">
        <w:tc>
          <w:tcPr>
            <w:tcW w:w="3116" w:type="dxa"/>
          </w:tcPr>
          <w:p w14:paraId="5FB8DE20" w14:textId="501B5113" w:rsidR="009A31D6" w:rsidRDefault="009A31D6" w:rsidP="00D266D3">
            <w:r>
              <w:t>Supported Reservoir Types</w:t>
            </w:r>
          </w:p>
        </w:tc>
        <w:tc>
          <w:tcPr>
            <w:tcW w:w="3117" w:type="dxa"/>
          </w:tcPr>
          <w:p w14:paraId="522E5774" w14:textId="210E4E4F" w:rsidR="009A31D6" w:rsidRDefault="009A31D6" w:rsidP="00D266D3">
            <w:r>
              <w:t>EGS, KGS</w:t>
            </w:r>
          </w:p>
        </w:tc>
        <w:tc>
          <w:tcPr>
            <w:tcW w:w="3117" w:type="dxa"/>
          </w:tcPr>
          <w:p w14:paraId="56DDD136" w14:textId="1327461F" w:rsidR="009A31D6" w:rsidRDefault="009A31D6" w:rsidP="00D266D3">
            <w:r>
              <w:t>AGS, CGS, EGS, KGS</w:t>
            </w:r>
          </w:p>
        </w:tc>
      </w:tr>
      <w:tr w:rsidR="009A31D6" w14:paraId="061CE150" w14:textId="77777777" w:rsidTr="009A31D6">
        <w:tc>
          <w:tcPr>
            <w:tcW w:w="3116" w:type="dxa"/>
          </w:tcPr>
          <w:p w14:paraId="268E6587" w14:textId="06151B6A" w:rsidR="009A31D6" w:rsidRDefault="009A31D6" w:rsidP="00D266D3">
            <w:r>
              <w:t>Natural Fracture Effects</w:t>
            </w:r>
          </w:p>
        </w:tc>
        <w:tc>
          <w:tcPr>
            <w:tcW w:w="3117" w:type="dxa"/>
          </w:tcPr>
          <w:p w14:paraId="3FD9B2B3" w14:textId="35C06BDD" w:rsidR="009A31D6" w:rsidRDefault="009A31D6" w:rsidP="00D266D3">
            <w:r>
              <w:t>No</w:t>
            </w:r>
          </w:p>
        </w:tc>
        <w:tc>
          <w:tcPr>
            <w:tcW w:w="3117" w:type="dxa"/>
          </w:tcPr>
          <w:p w14:paraId="1DA961E2" w14:textId="747DDF6F" w:rsidR="009A31D6" w:rsidRDefault="009A31D6" w:rsidP="00D266D3">
            <w:r>
              <w:t>Yes</w:t>
            </w:r>
          </w:p>
        </w:tc>
      </w:tr>
      <w:tr w:rsidR="009A31D6" w14:paraId="45770F73" w14:textId="77777777" w:rsidTr="009A31D6">
        <w:tc>
          <w:tcPr>
            <w:tcW w:w="3116" w:type="dxa"/>
          </w:tcPr>
          <w:p w14:paraId="72D0CD5D" w14:textId="211BEE4C" w:rsidR="009A31D6" w:rsidRDefault="009A31D6" w:rsidP="00D266D3">
            <w:r>
              <w:t>Fracture Thermal Interference</w:t>
            </w:r>
          </w:p>
        </w:tc>
        <w:tc>
          <w:tcPr>
            <w:tcW w:w="3117" w:type="dxa"/>
          </w:tcPr>
          <w:p w14:paraId="4F6366E4" w14:textId="4C5C0C62" w:rsidR="009A31D6" w:rsidRDefault="009A31D6" w:rsidP="00D266D3">
            <w:r>
              <w:t>Yes</w:t>
            </w:r>
          </w:p>
        </w:tc>
        <w:tc>
          <w:tcPr>
            <w:tcW w:w="3117" w:type="dxa"/>
          </w:tcPr>
          <w:p w14:paraId="336F0747" w14:textId="67E38E3B" w:rsidR="009A31D6" w:rsidRDefault="009A31D6" w:rsidP="00D266D3">
            <w:r>
              <w:t>No</w:t>
            </w:r>
          </w:p>
        </w:tc>
      </w:tr>
      <w:tr w:rsidR="009A31D6" w14:paraId="2B681789" w14:textId="77777777" w:rsidTr="009A31D6">
        <w:tc>
          <w:tcPr>
            <w:tcW w:w="3116" w:type="dxa"/>
          </w:tcPr>
          <w:p w14:paraId="039894C2" w14:textId="1DD63BF0" w:rsidR="009A31D6" w:rsidRDefault="009A31D6" w:rsidP="00D266D3">
            <w:r>
              <w:t>Maximum Fractures</w:t>
            </w:r>
          </w:p>
        </w:tc>
        <w:tc>
          <w:tcPr>
            <w:tcW w:w="3117" w:type="dxa"/>
          </w:tcPr>
          <w:p w14:paraId="0F8F921F" w14:textId="0F1F51BF" w:rsidR="009A31D6" w:rsidRDefault="009A31D6" w:rsidP="00D266D3">
            <w:r>
              <w:t>10000</w:t>
            </w:r>
          </w:p>
        </w:tc>
        <w:tc>
          <w:tcPr>
            <w:tcW w:w="3117" w:type="dxa"/>
          </w:tcPr>
          <w:p w14:paraId="11E57938" w14:textId="5B5D885C" w:rsidR="009A31D6" w:rsidRDefault="009A31D6" w:rsidP="00D266D3">
            <w:r>
              <w:t>250</w:t>
            </w:r>
          </w:p>
        </w:tc>
      </w:tr>
    </w:tbl>
    <w:p w14:paraId="431386D3" w14:textId="77777777" w:rsidR="009A31D6" w:rsidRPr="006B2909" w:rsidRDefault="009A31D6" w:rsidP="00D266D3">
      <w:pPr>
        <w:rPr>
          <w:sz w:val="4"/>
          <w:szCs w:val="4"/>
        </w:rPr>
      </w:pPr>
    </w:p>
    <w:p w14:paraId="38711F96" w14:textId="2F6F745F" w:rsidR="00D5046A" w:rsidRDefault="00D5046A" w:rsidP="00D266D3">
      <w:r>
        <w:t xml:space="preserve">The ‘gg’ solver is based on an analytical solution for heat production from </w:t>
      </w:r>
      <w:r w:rsidR="00B05AA6">
        <w:t xml:space="preserve">ideal hydraulic fractured reservoirs </w:t>
      </w:r>
      <w:r>
        <w:t>[Gringarten et al., 1975]. The ‘gt’ solver uses an iterative pipe-network solver with heat and mass transport calculated for the wells and fractures [Frash, 2021]. The ‘gt’ solver supports performance prediction for closed-loop Advanced Geothermal Systems (AGS), fault-based Conventional Geothermal Systems (CGS), sand-propped Enhanced Geothermal Systems (EGS), and water-propped Caged Geothermal Systems (KGS).</w:t>
      </w:r>
    </w:p>
    <w:p w14:paraId="21CA1987" w14:textId="77777777" w:rsidR="009A31D6" w:rsidRDefault="009A31D6" w:rsidP="009A31D6">
      <w:pPr>
        <w:pStyle w:val="Heading1"/>
      </w:pPr>
      <w:r>
        <w:t>Analytical Heat and Flow Solver Validation</w:t>
      </w:r>
    </w:p>
    <w:p w14:paraId="6AF7C354" w14:textId="5AD52326" w:rsidR="009A31D6" w:rsidRDefault="000C602C" w:rsidP="00D266D3">
      <w:r>
        <w:t xml:space="preserve">Using the analytical EGS model, we validate proper execution of </w:t>
      </w:r>
      <w:proofErr w:type="spellStart"/>
      <w:r>
        <w:t>GeoDT</w:t>
      </w:r>
      <w:proofErr w:type="spellEnd"/>
      <w:r w:rsidR="00ED5D9B">
        <w:t xml:space="preserve"> (</w:t>
      </w:r>
      <w:r w:rsidR="00ED5D9B">
        <w:fldChar w:fldCharType="begin"/>
      </w:r>
      <w:r w:rsidR="00ED5D9B">
        <w:instrText xml:space="preserve"> REF _Ref209888760 \h </w:instrText>
      </w:r>
      <w:r w:rsidR="00ED5D9B">
        <w:fldChar w:fldCharType="separate"/>
      </w:r>
      <w:r w:rsidR="005D1BFA">
        <w:t xml:space="preserve">Figure </w:t>
      </w:r>
      <w:r w:rsidR="005D1BFA">
        <w:rPr>
          <w:noProof/>
        </w:rPr>
        <w:t>2</w:t>
      </w:r>
      <w:r w:rsidR="00ED5D9B">
        <w:fldChar w:fldCharType="end"/>
      </w:r>
      <w:r w:rsidR="00ED5D9B">
        <w:t>) by</w:t>
      </w:r>
      <w:r>
        <w:t xml:space="preserve"> reproduc</w:t>
      </w:r>
      <w:r w:rsidR="00ED5D9B">
        <w:t>ing</w:t>
      </w:r>
      <w:r>
        <w:t xml:space="preserve"> </w:t>
      </w:r>
      <w:proofErr w:type="spellStart"/>
      <w:r>
        <w:t>Gringarten</w:t>
      </w:r>
      <w:proofErr w:type="spellEnd"/>
      <w:r>
        <w:t xml:space="preserve"> et al. (1975</w:t>
      </w:r>
      <w:r w:rsidR="007654B0">
        <w:t xml:space="preserve">; </w:t>
      </w:r>
      <w:r w:rsidR="003504C1">
        <w:fldChar w:fldCharType="begin"/>
      </w:r>
      <w:r w:rsidR="003504C1">
        <w:instrText xml:space="preserve"> REF _Ref210060035 \h </w:instrText>
      </w:r>
      <w:r w:rsidR="003504C1">
        <w:fldChar w:fldCharType="separate"/>
      </w:r>
      <w:r w:rsidR="005D1BFA">
        <w:t xml:space="preserve">Figure </w:t>
      </w:r>
      <w:r w:rsidR="005D1BFA">
        <w:rPr>
          <w:noProof/>
        </w:rPr>
        <w:t>3</w:t>
      </w:r>
      <w:r w:rsidR="003504C1">
        <w:fldChar w:fldCharType="end"/>
      </w:r>
      <w:r>
        <w:t xml:space="preserve">) which inspects thermal decline </w:t>
      </w:r>
      <w:r w:rsidR="00ED5D9B">
        <w:t>for</w:t>
      </w:r>
      <w:r>
        <w:t xml:space="preserve"> four different reservoirs. Each has fractures with a 1 km</w:t>
      </w:r>
      <w:r>
        <w:rPr>
          <w:vertAlign w:val="superscript"/>
        </w:rPr>
        <w:t>2</w:t>
      </w:r>
      <w:r>
        <w:t xml:space="preserve"> surface area that connect an injection well to a production well. The reservoir temperature is 300 °C with the injected fluid being 65 °C. The bulk flo</w:t>
      </w:r>
      <w:r w:rsidR="0084441B">
        <w:t>w</w:t>
      </w:r>
      <w:r>
        <w:t xml:space="preserve"> rate is constant at 0.145 m</w:t>
      </w:r>
      <w:r w:rsidRPr="000C602C">
        <w:rPr>
          <w:vertAlign w:val="superscript"/>
        </w:rPr>
        <w:t>3</w:t>
      </w:r>
      <w:r>
        <w:t>/s</w:t>
      </w:r>
      <w:r w:rsidR="0084441B">
        <w:t xml:space="preserve"> (1.45e10 cm</w:t>
      </w:r>
      <w:r w:rsidR="0084441B" w:rsidRPr="0084441B">
        <w:rPr>
          <w:vertAlign w:val="superscript"/>
        </w:rPr>
        <w:t>3</w:t>
      </w:r>
      <w:r w:rsidR="0084441B">
        <w:t>/s). The complete list of parameters is given in (</w:t>
      </w:r>
      <w:r w:rsidR="0084441B">
        <w:fldChar w:fldCharType="begin"/>
      </w:r>
      <w:r w:rsidR="0084441B">
        <w:instrText xml:space="preserve"> REF _Ref209887652 \h </w:instrText>
      </w:r>
      <w:r w:rsidR="0084441B">
        <w:fldChar w:fldCharType="separate"/>
      </w:r>
      <w:r w:rsidR="005D1BFA">
        <w:t xml:space="preserve">Table </w:t>
      </w:r>
      <w:r w:rsidR="005D1BFA">
        <w:rPr>
          <w:noProof/>
        </w:rPr>
        <w:t>2</w:t>
      </w:r>
      <w:r w:rsidR="0084441B">
        <w:fldChar w:fldCharType="end"/>
      </w:r>
      <w:r w:rsidR="0084441B">
        <w:t>), which includes corrections to the original Gringarten paper. Conversions are required to get from this table to the GeoDT inputs. Water thermal properties are computed by GeoDT using a lookup table based on the International Association for the Properties for Water and Steam (IPAWS-95).</w:t>
      </w:r>
    </w:p>
    <w:p w14:paraId="3EC45ECC" w14:textId="3C70B234" w:rsidR="0084441B" w:rsidRDefault="0084441B" w:rsidP="0084441B">
      <w:pPr>
        <w:pStyle w:val="Caption"/>
        <w:keepNext/>
      </w:pPr>
      <w:bookmarkStart w:id="2" w:name="_Ref209887652"/>
      <w:r>
        <w:t xml:space="preserve">Table </w:t>
      </w:r>
      <w:r>
        <w:fldChar w:fldCharType="begin"/>
      </w:r>
      <w:r>
        <w:instrText xml:space="preserve"> SEQ Table \* ARABIC </w:instrText>
      </w:r>
      <w:r>
        <w:fldChar w:fldCharType="separate"/>
      </w:r>
      <w:r w:rsidR="005D1BFA">
        <w:rPr>
          <w:noProof/>
        </w:rPr>
        <w:t>2</w:t>
      </w:r>
      <w:r>
        <w:fldChar w:fldCharType="end"/>
      </w:r>
      <w:bookmarkEnd w:id="2"/>
      <w:r>
        <w:t>. Parameters to match Gringarten et al., (1975) Fig. 5 validation.</w:t>
      </w:r>
    </w:p>
    <w:tbl>
      <w:tblPr>
        <w:tblStyle w:val="TableGrid"/>
        <w:tblW w:w="5000" w:type="pct"/>
        <w:tblLook w:val="04A0" w:firstRow="1" w:lastRow="0" w:firstColumn="1" w:lastColumn="0" w:noHBand="0" w:noVBand="1"/>
      </w:tblPr>
      <w:tblGrid>
        <w:gridCol w:w="4855"/>
        <w:gridCol w:w="4495"/>
      </w:tblGrid>
      <w:tr w:rsidR="0084441B" w14:paraId="52520BE1" w14:textId="77777777" w:rsidTr="0084441B">
        <w:tc>
          <w:tcPr>
            <w:tcW w:w="2596" w:type="pct"/>
            <w:shd w:val="clear" w:color="auto" w:fill="CAEDFB" w:themeFill="accent4" w:themeFillTint="33"/>
          </w:tcPr>
          <w:p w14:paraId="198C7031" w14:textId="4EEA213C" w:rsidR="0084441B" w:rsidRPr="009A31D6" w:rsidRDefault="0084441B" w:rsidP="001C5604">
            <w:pPr>
              <w:rPr>
                <w:b/>
                <w:bCs/>
              </w:rPr>
            </w:pPr>
            <w:r>
              <w:rPr>
                <w:b/>
                <w:bCs/>
              </w:rPr>
              <w:t>Parameter</w:t>
            </w:r>
          </w:p>
        </w:tc>
        <w:tc>
          <w:tcPr>
            <w:tcW w:w="2404" w:type="pct"/>
            <w:shd w:val="clear" w:color="auto" w:fill="CAEDFB" w:themeFill="accent4" w:themeFillTint="33"/>
          </w:tcPr>
          <w:p w14:paraId="3BB8CADD" w14:textId="4BD8BB33" w:rsidR="0084441B" w:rsidRPr="009A31D6" w:rsidRDefault="0084441B" w:rsidP="001C5604">
            <w:pPr>
              <w:rPr>
                <w:b/>
                <w:bCs/>
              </w:rPr>
            </w:pPr>
            <w:r>
              <w:rPr>
                <w:b/>
                <w:bCs/>
              </w:rPr>
              <w:t>Value</w:t>
            </w:r>
          </w:p>
        </w:tc>
      </w:tr>
      <w:tr w:rsidR="0084441B" w14:paraId="79C6224E" w14:textId="77777777" w:rsidTr="0084441B">
        <w:tc>
          <w:tcPr>
            <w:tcW w:w="2596" w:type="pct"/>
          </w:tcPr>
          <w:p w14:paraId="309E862A" w14:textId="3F54023D" w:rsidR="0084441B" w:rsidRDefault="0084441B" w:rsidP="001C5604">
            <w:r>
              <w:t>Bulk Flow Rate</w:t>
            </w:r>
          </w:p>
        </w:tc>
        <w:tc>
          <w:tcPr>
            <w:tcW w:w="2404" w:type="pct"/>
          </w:tcPr>
          <w:p w14:paraId="4C8DC16A" w14:textId="3D52B4AA" w:rsidR="0084441B" w:rsidRDefault="0084441B" w:rsidP="001C5604">
            <w:r>
              <w:t>0.145 m</w:t>
            </w:r>
            <w:r w:rsidRPr="0084441B">
              <w:rPr>
                <w:vertAlign w:val="superscript"/>
              </w:rPr>
              <w:t>3</w:t>
            </w:r>
            <w:r>
              <w:t>/s</w:t>
            </w:r>
          </w:p>
        </w:tc>
      </w:tr>
      <w:tr w:rsidR="0084441B" w14:paraId="739F8B53" w14:textId="77777777" w:rsidTr="0084441B">
        <w:tc>
          <w:tcPr>
            <w:tcW w:w="2596" w:type="pct"/>
          </w:tcPr>
          <w:p w14:paraId="411EF350" w14:textId="55A88222" w:rsidR="0084441B" w:rsidRDefault="0084441B" w:rsidP="001C5604">
            <w:r>
              <w:t>Fracture Area</w:t>
            </w:r>
          </w:p>
        </w:tc>
        <w:tc>
          <w:tcPr>
            <w:tcW w:w="2404" w:type="pct"/>
          </w:tcPr>
          <w:p w14:paraId="5B6909F8" w14:textId="643728E6" w:rsidR="0084441B" w:rsidRDefault="0084441B" w:rsidP="001C5604">
            <w:r>
              <w:t>1 km</w:t>
            </w:r>
            <w:r w:rsidRPr="0084441B">
              <w:rPr>
                <w:vertAlign w:val="superscript"/>
              </w:rPr>
              <w:t>2</w:t>
            </w:r>
          </w:p>
        </w:tc>
      </w:tr>
      <w:tr w:rsidR="0084441B" w14:paraId="1762CE81" w14:textId="77777777" w:rsidTr="0084441B">
        <w:tc>
          <w:tcPr>
            <w:tcW w:w="2596" w:type="pct"/>
          </w:tcPr>
          <w:p w14:paraId="4AB0F32D" w14:textId="080A48C0" w:rsidR="0084441B" w:rsidRDefault="0084441B" w:rsidP="001C5604">
            <w:r>
              <w:t>Rock Temperature / Injection Temperature</w:t>
            </w:r>
          </w:p>
        </w:tc>
        <w:tc>
          <w:tcPr>
            <w:tcW w:w="2404" w:type="pct"/>
          </w:tcPr>
          <w:p w14:paraId="016DE14A" w14:textId="72A0A1BA" w:rsidR="0084441B" w:rsidRDefault="0084441B" w:rsidP="001C5604">
            <w:r>
              <w:t>300 °C / 65 °C</w:t>
            </w:r>
          </w:p>
        </w:tc>
      </w:tr>
      <w:tr w:rsidR="0084441B" w14:paraId="3E4E67B0" w14:textId="77777777" w:rsidTr="0084441B">
        <w:tc>
          <w:tcPr>
            <w:tcW w:w="2596" w:type="pct"/>
          </w:tcPr>
          <w:p w14:paraId="4498E8D4" w14:textId="44A9EF87" w:rsidR="0084441B" w:rsidRDefault="0084441B" w:rsidP="001C5604">
            <w:r>
              <w:t>Rock Thermal Conductivity</w:t>
            </w:r>
          </w:p>
        </w:tc>
        <w:tc>
          <w:tcPr>
            <w:tcW w:w="2404" w:type="pct"/>
          </w:tcPr>
          <w:p w14:paraId="3928EF2C" w14:textId="1052B6FE" w:rsidR="0084441B" w:rsidRDefault="0084441B" w:rsidP="001C5604">
            <w:r>
              <w:t>2.549 W/m-K</w:t>
            </w:r>
          </w:p>
        </w:tc>
      </w:tr>
      <w:tr w:rsidR="0084441B" w14:paraId="4E29D4DA" w14:textId="77777777" w:rsidTr="0084441B">
        <w:tc>
          <w:tcPr>
            <w:tcW w:w="2596" w:type="pct"/>
          </w:tcPr>
          <w:p w14:paraId="60EC9C62" w14:textId="63F2E13B" w:rsidR="0084441B" w:rsidRDefault="0084441B" w:rsidP="001C5604">
            <w:r>
              <w:t>Rock Heat Capacity</w:t>
            </w:r>
          </w:p>
        </w:tc>
        <w:tc>
          <w:tcPr>
            <w:tcW w:w="2404" w:type="pct"/>
          </w:tcPr>
          <w:p w14:paraId="70384672" w14:textId="6642D08B" w:rsidR="0084441B" w:rsidRDefault="0084441B" w:rsidP="001C5604">
            <w:r>
              <w:t>2771.9 kJ/m</w:t>
            </w:r>
            <w:r w:rsidRPr="0084441B">
              <w:rPr>
                <w:vertAlign w:val="superscript"/>
              </w:rPr>
              <w:t>3</w:t>
            </w:r>
            <w:r>
              <w:t>-K</w:t>
            </w:r>
          </w:p>
        </w:tc>
      </w:tr>
      <w:tr w:rsidR="0084441B" w14:paraId="46784AB6" w14:textId="77777777" w:rsidTr="0084441B">
        <w:tc>
          <w:tcPr>
            <w:tcW w:w="2596" w:type="pct"/>
          </w:tcPr>
          <w:p w14:paraId="35D78CB5" w14:textId="2D97FE55" w:rsidR="0084441B" w:rsidRDefault="0084441B" w:rsidP="001C5604">
            <w:r>
              <w:t>Number of Fractures</w:t>
            </w:r>
          </w:p>
        </w:tc>
        <w:tc>
          <w:tcPr>
            <w:tcW w:w="2404" w:type="pct"/>
          </w:tcPr>
          <w:p w14:paraId="293DC99B" w14:textId="3049E546" w:rsidR="0084441B" w:rsidRDefault="0084441B" w:rsidP="001C5604">
            <w:r>
              <w:t>1 or 10</w:t>
            </w:r>
          </w:p>
        </w:tc>
      </w:tr>
      <w:tr w:rsidR="0084441B" w14:paraId="6EA77D5F" w14:textId="77777777" w:rsidTr="0084441B">
        <w:tc>
          <w:tcPr>
            <w:tcW w:w="2596" w:type="pct"/>
          </w:tcPr>
          <w:p w14:paraId="36CD39F6" w14:textId="283B7440" w:rsidR="0084441B" w:rsidRDefault="0084441B" w:rsidP="001C5604">
            <w:r>
              <w:t>Fracture Spacing</w:t>
            </w:r>
          </w:p>
        </w:tc>
        <w:tc>
          <w:tcPr>
            <w:tcW w:w="2404" w:type="pct"/>
          </w:tcPr>
          <w:p w14:paraId="7A356D1A" w14:textId="7CE75554" w:rsidR="0084441B" w:rsidRDefault="0084441B" w:rsidP="001C5604">
            <w:r>
              <w:t>40 m, 80 m, 160 m, or infinite</w:t>
            </w:r>
          </w:p>
        </w:tc>
      </w:tr>
      <w:tr w:rsidR="0084441B" w14:paraId="4C05AA37" w14:textId="77777777" w:rsidTr="0084441B">
        <w:tc>
          <w:tcPr>
            <w:tcW w:w="2596" w:type="pct"/>
          </w:tcPr>
          <w:p w14:paraId="29B4C50D" w14:textId="31AB4F5B" w:rsidR="0084441B" w:rsidRDefault="0084441B" w:rsidP="001C5604">
            <w:r>
              <w:t>Life Span</w:t>
            </w:r>
          </w:p>
        </w:tc>
        <w:tc>
          <w:tcPr>
            <w:tcW w:w="2404" w:type="pct"/>
          </w:tcPr>
          <w:p w14:paraId="16F83B3F" w14:textId="43CF8277" w:rsidR="0084441B" w:rsidRDefault="0084441B" w:rsidP="001C5604">
            <w:r>
              <w:t>100 yr</w:t>
            </w:r>
          </w:p>
        </w:tc>
      </w:tr>
      <w:tr w:rsidR="0084441B" w14:paraId="337329A5" w14:textId="77777777" w:rsidTr="0084441B">
        <w:tc>
          <w:tcPr>
            <w:tcW w:w="2596" w:type="pct"/>
          </w:tcPr>
          <w:p w14:paraId="4B71264D" w14:textId="599A0E0E" w:rsidR="0084441B" w:rsidRDefault="0084441B" w:rsidP="001C5604">
            <w:r>
              <w:t>*Tortuosity / Flow Splits</w:t>
            </w:r>
          </w:p>
        </w:tc>
        <w:tc>
          <w:tcPr>
            <w:tcW w:w="2404" w:type="pct"/>
          </w:tcPr>
          <w:p w14:paraId="4ED744B1" w14:textId="787AFB93" w:rsidR="0084441B" w:rsidRDefault="0084441B" w:rsidP="001C5604">
            <w:r>
              <w:t>1.0 / 1.0</w:t>
            </w:r>
          </w:p>
        </w:tc>
      </w:tr>
    </w:tbl>
    <w:p w14:paraId="1A07A488" w14:textId="14EE1C29" w:rsidR="00D266D3" w:rsidRDefault="0084441B" w:rsidP="00D266D3">
      <w:r>
        <w:t>* Parameter required by GeoDT</w:t>
      </w:r>
    </w:p>
    <w:p w14:paraId="24EF577A" w14:textId="5E552019" w:rsidR="0084441B" w:rsidRDefault="00ED5D9B" w:rsidP="00D266D3">
      <w:r>
        <w:rPr>
          <w:noProof/>
        </w:rPr>
        <w:lastRenderedPageBreak/>
        <w:drawing>
          <wp:inline distT="0" distB="0" distL="0" distR="0" wp14:anchorId="7D0CF6D5" wp14:editId="507E4116">
            <wp:extent cx="2889504" cy="3840480"/>
            <wp:effectExtent l="0" t="0" r="6350" b="7620"/>
            <wp:docPr id="1603572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7">
                      <a:extLst>
                        <a:ext uri="{28A0092B-C50C-407E-A947-70E740481C1C}">
                          <a14:useLocalDpi xmlns:a14="http://schemas.microsoft.com/office/drawing/2010/main" val="0"/>
                        </a:ext>
                      </a:extLst>
                    </a:blip>
                    <a:srcRect r="1681"/>
                    <a:stretch>
                      <a:fillRect/>
                    </a:stretch>
                  </pic:blipFill>
                  <pic:spPr bwMode="auto">
                    <a:xfrm>
                      <a:off x="0" y="0"/>
                      <a:ext cx="2889504" cy="38404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067F833" wp14:editId="3CB1F90C">
            <wp:extent cx="2953512" cy="3840480"/>
            <wp:effectExtent l="0" t="0" r="0" b="7620"/>
            <wp:docPr id="1196517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3512" cy="3840480"/>
                    </a:xfrm>
                    <a:prstGeom prst="rect">
                      <a:avLst/>
                    </a:prstGeom>
                    <a:noFill/>
                    <a:ln>
                      <a:noFill/>
                    </a:ln>
                  </pic:spPr>
                </pic:pic>
              </a:graphicData>
            </a:graphic>
          </wp:inline>
        </w:drawing>
      </w:r>
    </w:p>
    <w:p w14:paraId="7943C169" w14:textId="77777777" w:rsidR="00ED5D9B" w:rsidRDefault="00ED5D9B" w:rsidP="00ED5D9B">
      <w:pPr>
        <w:keepNext/>
      </w:pPr>
      <w:r>
        <w:rPr>
          <w:noProof/>
        </w:rPr>
        <w:drawing>
          <wp:inline distT="0" distB="0" distL="0" distR="0" wp14:anchorId="76D89F81" wp14:editId="0BD27F67">
            <wp:extent cx="2924175" cy="3840480"/>
            <wp:effectExtent l="0" t="0" r="9525" b="7620"/>
            <wp:docPr id="21484952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r="65"/>
                    <a:stretch>
                      <a:fillRect/>
                    </a:stretch>
                  </pic:blipFill>
                  <pic:spPr bwMode="auto">
                    <a:xfrm>
                      <a:off x="0" y="0"/>
                      <a:ext cx="2924175" cy="38404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ED3BDE" wp14:editId="6C0746BF">
            <wp:extent cx="2907792" cy="3840480"/>
            <wp:effectExtent l="0" t="0" r="6985" b="7620"/>
            <wp:docPr id="18900794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651" b="794"/>
                    <a:stretch>
                      <a:fillRect/>
                    </a:stretch>
                  </pic:blipFill>
                  <pic:spPr bwMode="auto">
                    <a:xfrm>
                      <a:off x="0" y="0"/>
                      <a:ext cx="2907792" cy="3840480"/>
                    </a:xfrm>
                    <a:prstGeom prst="rect">
                      <a:avLst/>
                    </a:prstGeom>
                    <a:noFill/>
                    <a:ln>
                      <a:noFill/>
                    </a:ln>
                    <a:extLst>
                      <a:ext uri="{53640926-AAD7-44D8-BBD7-CCE9431645EC}">
                        <a14:shadowObscured xmlns:a14="http://schemas.microsoft.com/office/drawing/2010/main"/>
                      </a:ext>
                    </a:extLst>
                  </pic:spPr>
                </pic:pic>
              </a:graphicData>
            </a:graphic>
          </wp:inline>
        </w:drawing>
      </w:r>
    </w:p>
    <w:p w14:paraId="6609F150" w14:textId="47E3BC11" w:rsidR="00ED5D9B" w:rsidRDefault="00ED5D9B" w:rsidP="00ED5D9B">
      <w:pPr>
        <w:pStyle w:val="Caption"/>
      </w:pPr>
      <w:bookmarkStart w:id="3" w:name="_Ref209888760"/>
      <w:r>
        <w:t xml:space="preserve">Figure </w:t>
      </w:r>
      <w:r>
        <w:fldChar w:fldCharType="begin"/>
      </w:r>
      <w:r>
        <w:instrText xml:space="preserve"> SEQ Figure \* ARABIC </w:instrText>
      </w:r>
      <w:r>
        <w:fldChar w:fldCharType="separate"/>
      </w:r>
      <w:r w:rsidR="005D1BFA">
        <w:rPr>
          <w:noProof/>
        </w:rPr>
        <w:t>2</w:t>
      </w:r>
      <w:r>
        <w:fldChar w:fldCharType="end"/>
      </w:r>
      <w:bookmarkEnd w:id="3"/>
      <w:r>
        <w:t>. Validation of GeoDT’s ‘gg’ solver versus Gringarten et al. (1975)</w:t>
      </w:r>
      <w:r w:rsidR="007654B0">
        <w:t xml:space="preserve"> with 10 or 1 fracture at 1 km</w:t>
      </w:r>
      <w:r w:rsidR="007654B0">
        <w:rPr>
          <w:vertAlign w:val="superscript"/>
        </w:rPr>
        <w:t>2</w:t>
      </w:r>
      <w:r w:rsidR="007654B0">
        <w:t xml:space="preserve"> area each.</w:t>
      </w:r>
    </w:p>
    <w:p w14:paraId="37929501" w14:textId="1DE20C7C" w:rsidR="007654B0" w:rsidRDefault="007603C7" w:rsidP="007654B0">
      <w:pPr>
        <w:keepNext/>
      </w:pPr>
      <w:r w:rsidRPr="007654B0">
        <w:lastRenderedPageBreak/>
        <w:drawing>
          <wp:inline distT="0" distB="0" distL="0" distR="0" wp14:anchorId="11CB1F91" wp14:editId="0405A833">
            <wp:extent cx="5943600" cy="2455545"/>
            <wp:effectExtent l="0" t="0" r="0" b="1905"/>
            <wp:docPr id="790901063" name="Picture 5" descr="A comparison of a graph&#10;&#10;AI-generated content may be incorrect.">
              <a:extLst xmlns:a="http://schemas.openxmlformats.org/drawingml/2006/main">
                <a:ext uri="{FF2B5EF4-FFF2-40B4-BE49-F238E27FC236}">
                  <a16:creationId xmlns:a16="http://schemas.microsoft.com/office/drawing/2014/main" id="{286A5BF5-F35C-142C-55E0-DB408C754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arison of a graph&#10;&#10;AI-generated content may be incorrect.">
                      <a:extLst>
                        <a:ext uri="{FF2B5EF4-FFF2-40B4-BE49-F238E27FC236}">
                          <a16:creationId xmlns:a16="http://schemas.microsoft.com/office/drawing/2014/main" id="{286A5BF5-F35C-142C-55E0-DB408C754E76}"/>
                        </a:ext>
                      </a:extLst>
                    </pic:cNvPr>
                    <pic:cNvPicPr>
                      <a:picLocks noChangeAspect="1"/>
                    </pic:cNvPicPr>
                  </pic:nvPicPr>
                  <pic:blipFill>
                    <a:blip r:embed="rId11"/>
                    <a:stretch>
                      <a:fillRect/>
                    </a:stretch>
                  </pic:blipFill>
                  <pic:spPr>
                    <a:xfrm>
                      <a:off x="0" y="0"/>
                      <a:ext cx="5943600" cy="2455545"/>
                    </a:xfrm>
                    <a:prstGeom prst="rect">
                      <a:avLst/>
                    </a:prstGeom>
                  </pic:spPr>
                </pic:pic>
              </a:graphicData>
            </a:graphic>
          </wp:inline>
        </w:drawing>
      </w:r>
    </w:p>
    <w:p w14:paraId="052EB215" w14:textId="6F7F57C4" w:rsidR="007654B0" w:rsidRDefault="007654B0" w:rsidP="007654B0">
      <w:pPr>
        <w:pStyle w:val="Caption"/>
      </w:pPr>
      <w:bookmarkStart w:id="4" w:name="_Ref210060035"/>
      <w:r>
        <w:t xml:space="preserve">Figure </w:t>
      </w:r>
      <w:r>
        <w:fldChar w:fldCharType="begin"/>
      </w:r>
      <w:r>
        <w:instrText xml:space="preserve"> SEQ Figure \* ARABIC </w:instrText>
      </w:r>
      <w:r>
        <w:fldChar w:fldCharType="separate"/>
      </w:r>
      <w:r w:rsidR="005D1BFA">
        <w:rPr>
          <w:noProof/>
        </w:rPr>
        <w:t>3</w:t>
      </w:r>
      <w:r>
        <w:fldChar w:fldCharType="end"/>
      </w:r>
      <w:bookmarkEnd w:id="4"/>
      <w:r>
        <w:t>. Reproduction of Fig.5 from Gringarten et al. (1975) using GeoDT’s ‘gg’ solver.</w:t>
      </w:r>
    </w:p>
    <w:p w14:paraId="206FA77A" w14:textId="222DECBB" w:rsidR="007654B0" w:rsidRDefault="006255CD" w:rsidP="007654B0">
      <w:r>
        <w:t>To reproduce this validation, the associated settings files for these four simulations are named “VALIDATION_GG01inf.set”, “VALIDATION_GG1040.set”, “VALIDATION_GG1080.set”, and VALIDATION_GG10160.set”.</w:t>
      </w:r>
      <w:r w:rsidR="007603C7">
        <w:t xml:space="preserve"> </w:t>
      </w:r>
    </w:p>
    <w:p w14:paraId="56AAC32D" w14:textId="19C7A4D2" w:rsidR="007603C7" w:rsidRDefault="007603C7" w:rsidP="007603C7">
      <w:pPr>
        <w:pStyle w:val="Heading1"/>
      </w:pPr>
      <w:r>
        <w:t>Pilot Scale EGS Validation</w:t>
      </w:r>
    </w:p>
    <w:p w14:paraId="080C6120" w14:textId="0051691C" w:rsidR="007603C7" w:rsidRDefault="00ED2D4C" w:rsidP="007603C7">
      <w:r>
        <w:t>The public datasets that are accessible for EGS validation include Fenton Hill New Mexico (Fenton), Blue Mountain Nevada (Project Red), the Frontier Observatory for Research in Geothermal Energy (FORGE),</w:t>
      </w:r>
      <w:r w:rsidR="00894BA9">
        <w:t xml:space="preserve"> EGS Collab South Dakota (Collab),</w:t>
      </w:r>
      <w:r>
        <w:t xml:space="preserve"> </w:t>
      </w:r>
      <w:r w:rsidRPr="00ED2D4C">
        <w:t xml:space="preserve">Soultz-sous-Forêts </w:t>
      </w:r>
      <w:r>
        <w:t>(Soultz), Pohang Korea (Pohang),</w:t>
      </w:r>
      <w:r w:rsidR="00894BA9">
        <w:t xml:space="preserve"> </w:t>
      </w:r>
      <w:r w:rsidR="00894BA9" w:rsidRPr="00894BA9">
        <w:t>Puu Honuaula</w:t>
      </w:r>
      <w:r w:rsidR="00894BA9">
        <w:t xml:space="preserve"> Hawaii (DCHE),</w:t>
      </w:r>
      <w:r>
        <w:t xml:space="preserve"> and Hijiori Japan (Hijiori). No data set</w:t>
      </w:r>
      <w:r w:rsidR="00894BA9">
        <w:t xml:space="preserve"> has yet</w:t>
      </w:r>
      <w:r>
        <w:t xml:space="preserve"> observed the long-term performance of EGS (</w:t>
      </w:r>
      <w:r w:rsidR="00894BA9">
        <w:fldChar w:fldCharType="begin"/>
      </w:r>
      <w:r w:rsidR="00894BA9">
        <w:instrText xml:space="preserve"> REF _Ref209956925 \h </w:instrText>
      </w:r>
      <w:r w:rsidR="00894BA9">
        <w:fldChar w:fldCharType="separate"/>
      </w:r>
      <w:r w:rsidR="005D1BFA">
        <w:t xml:space="preserve">Table </w:t>
      </w:r>
      <w:r w:rsidR="005D1BFA">
        <w:rPr>
          <w:noProof/>
        </w:rPr>
        <w:t>3</w:t>
      </w:r>
      <w:r w:rsidR="00894BA9">
        <w:fldChar w:fldCharType="end"/>
      </w:r>
      <w:r w:rsidR="00894BA9">
        <w:fldChar w:fldCharType="begin"/>
      </w:r>
      <w:r w:rsidR="00894BA9">
        <w:instrText xml:space="preserve"> REF _Ref209886247 \h </w:instrText>
      </w:r>
      <w:r w:rsidR="00894BA9">
        <w:fldChar w:fldCharType="separate"/>
      </w:r>
      <w:r w:rsidR="005D1BFA">
        <w:t xml:space="preserve">Table </w:t>
      </w:r>
      <w:r w:rsidR="005D1BFA">
        <w:rPr>
          <w:noProof/>
        </w:rPr>
        <w:t>1</w:t>
      </w:r>
      <w:r w:rsidR="00894BA9">
        <w:fldChar w:fldCharType="end"/>
      </w:r>
      <w:r w:rsidR="00894BA9">
        <w:t>)</w:t>
      </w:r>
      <w:r>
        <w:t>.</w:t>
      </w:r>
    </w:p>
    <w:p w14:paraId="218879C3" w14:textId="5E9AF82A" w:rsidR="00ED2D4C" w:rsidRDefault="00ED2D4C" w:rsidP="00ED2D4C">
      <w:pPr>
        <w:pStyle w:val="Caption"/>
        <w:keepNext/>
      </w:pPr>
      <w:bookmarkStart w:id="5" w:name="_Ref209956925"/>
      <w:r>
        <w:t xml:space="preserve">Table </w:t>
      </w:r>
      <w:r>
        <w:fldChar w:fldCharType="begin"/>
      </w:r>
      <w:r>
        <w:instrText xml:space="preserve"> SEQ Table \* ARABIC </w:instrText>
      </w:r>
      <w:r>
        <w:fldChar w:fldCharType="separate"/>
      </w:r>
      <w:r w:rsidR="005D1BFA">
        <w:rPr>
          <w:noProof/>
        </w:rPr>
        <w:t>3</w:t>
      </w:r>
      <w:r>
        <w:fldChar w:fldCharType="end"/>
      </w:r>
      <w:bookmarkEnd w:id="5"/>
      <w:r>
        <w:t>. Overview of publicly available data sets for model validation.</w:t>
      </w:r>
    </w:p>
    <w:tbl>
      <w:tblPr>
        <w:tblStyle w:val="TableGrid"/>
        <w:tblW w:w="5000" w:type="pct"/>
        <w:tblLook w:val="04A0" w:firstRow="1" w:lastRow="0" w:firstColumn="1" w:lastColumn="0" w:noHBand="0" w:noVBand="1"/>
      </w:tblPr>
      <w:tblGrid>
        <w:gridCol w:w="2605"/>
        <w:gridCol w:w="3330"/>
        <w:gridCol w:w="3415"/>
      </w:tblGrid>
      <w:tr w:rsidR="00ED2D4C" w14:paraId="385BAF2E" w14:textId="567D893D" w:rsidTr="00ED2D4C">
        <w:tc>
          <w:tcPr>
            <w:tcW w:w="1393" w:type="pct"/>
            <w:shd w:val="clear" w:color="auto" w:fill="CAEDFB" w:themeFill="accent4" w:themeFillTint="33"/>
          </w:tcPr>
          <w:p w14:paraId="75DEC56A" w14:textId="50807C49" w:rsidR="00ED2D4C" w:rsidRPr="009A31D6" w:rsidRDefault="00ED2D4C" w:rsidP="001C5604">
            <w:pPr>
              <w:rPr>
                <w:b/>
                <w:bCs/>
              </w:rPr>
            </w:pPr>
            <w:r>
              <w:rPr>
                <w:b/>
                <w:bCs/>
              </w:rPr>
              <w:t>Dataset</w:t>
            </w:r>
          </w:p>
        </w:tc>
        <w:tc>
          <w:tcPr>
            <w:tcW w:w="1781" w:type="pct"/>
            <w:shd w:val="clear" w:color="auto" w:fill="CAEDFB" w:themeFill="accent4" w:themeFillTint="33"/>
          </w:tcPr>
          <w:p w14:paraId="7E4857C2" w14:textId="246B34E1" w:rsidR="00ED2D4C" w:rsidRPr="009A31D6" w:rsidRDefault="00894BA9" w:rsidP="001C5604">
            <w:pPr>
              <w:rPr>
                <w:b/>
                <w:bCs/>
              </w:rPr>
            </w:pPr>
            <w:r>
              <w:rPr>
                <w:b/>
                <w:bCs/>
              </w:rPr>
              <w:t>Benefits</w:t>
            </w:r>
          </w:p>
        </w:tc>
        <w:tc>
          <w:tcPr>
            <w:tcW w:w="1826" w:type="pct"/>
            <w:shd w:val="clear" w:color="auto" w:fill="CAEDFB" w:themeFill="accent4" w:themeFillTint="33"/>
          </w:tcPr>
          <w:p w14:paraId="2906DAFA" w14:textId="51E81219" w:rsidR="00ED2D4C" w:rsidRDefault="00894BA9" w:rsidP="001C5604">
            <w:pPr>
              <w:rPr>
                <w:b/>
                <w:bCs/>
              </w:rPr>
            </w:pPr>
            <w:r>
              <w:rPr>
                <w:b/>
                <w:bCs/>
              </w:rPr>
              <w:t>*</w:t>
            </w:r>
            <w:r w:rsidR="00ED2D4C">
              <w:rPr>
                <w:b/>
                <w:bCs/>
              </w:rPr>
              <w:t>Drawbacks</w:t>
            </w:r>
          </w:p>
        </w:tc>
      </w:tr>
      <w:tr w:rsidR="00ED2D4C" w14:paraId="0E4E3DF3" w14:textId="070B7F4B" w:rsidTr="00ED2D4C">
        <w:tc>
          <w:tcPr>
            <w:tcW w:w="1393" w:type="pct"/>
          </w:tcPr>
          <w:p w14:paraId="305C3B5F" w14:textId="5E107F86" w:rsidR="00ED2D4C" w:rsidRDefault="00ED2D4C" w:rsidP="001C5604">
            <w:r>
              <w:t>Fenton Hill New Mexico (Fenton)</w:t>
            </w:r>
          </w:p>
        </w:tc>
        <w:tc>
          <w:tcPr>
            <w:tcW w:w="1781" w:type="pct"/>
          </w:tcPr>
          <w:p w14:paraId="5D5E862C" w14:textId="43EC1270" w:rsidR="00ED2D4C" w:rsidRDefault="00960A41" w:rsidP="001C5604">
            <w:r>
              <w:t>Volcanics and granitic rock; h</w:t>
            </w:r>
            <w:r w:rsidR="00894BA9">
              <w:t>ydraulic stimulation data</w:t>
            </w:r>
            <w:r>
              <w:t>;</w:t>
            </w:r>
            <w:r w:rsidR="00894BA9">
              <w:t xml:space="preserve"> microseismic data</w:t>
            </w:r>
            <w:r>
              <w:t>;</w:t>
            </w:r>
            <w:r w:rsidR="00894BA9">
              <w:t xml:space="preserve"> and </w:t>
            </w:r>
            <w:r>
              <w:t>more than 170</w:t>
            </w:r>
            <w:r w:rsidR="00894BA9">
              <w:t>-day</w:t>
            </w:r>
            <w:r>
              <w:t xml:space="preserve">s of </w:t>
            </w:r>
            <w:r w:rsidR="00894BA9">
              <w:t>flow test</w:t>
            </w:r>
            <w:r>
              <w:t>s</w:t>
            </w:r>
            <w:r w:rsidR="00894BA9">
              <w:t xml:space="preserve"> at</w:t>
            </w:r>
            <w:r>
              <w:t xml:space="preserve"> 105 gpm (0.0066 m3/s)</w:t>
            </w:r>
          </w:p>
        </w:tc>
        <w:tc>
          <w:tcPr>
            <w:tcW w:w="1826" w:type="pct"/>
          </w:tcPr>
          <w:p w14:paraId="5F1F04E2" w14:textId="29178C91" w:rsidR="00ED2D4C" w:rsidRDefault="00960A41" w:rsidP="001C5604">
            <w:r>
              <w:t>As the first ever study of EGS, the work had many interruptions and many variables. The flow rate was too low to see thermal effects. No sand proppant was used.</w:t>
            </w:r>
          </w:p>
        </w:tc>
      </w:tr>
      <w:tr w:rsidR="00ED2D4C" w14:paraId="734FA43B" w14:textId="440B4B7C" w:rsidTr="00ED2D4C">
        <w:tc>
          <w:tcPr>
            <w:tcW w:w="1393" w:type="pct"/>
          </w:tcPr>
          <w:p w14:paraId="6AAB3F55" w14:textId="69D97CAF" w:rsidR="00ED2D4C" w:rsidRDefault="00ED2D4C" w:rsidP="001C5604">
            <w:r>
              <w:t>Blue Mountain Nevada (Project Red)</w:t>
            </w:r>
          </w:p>
        </w:tc>
        <w:tc>
          <w:tcPr>
            <w:tcW w:w="1781" w:type="pct"/>
          </w:tcPr>
          <w:p w14:paraId="46A99897" w14:textId="3A0AE80F" w:rsidR="00ED2D4C" w:rsidRDefault="00960A41" w:rsidP="001C5604">
            <w:r>
              <w:t xml:space="preserve">Diorite and granite with overlying sedimentary rock; data for well drilling and completions; down-hole flow and temperature data; multi-stage limited-entry well stimulation with sand proppant; 37-day flow test at 750 gpm (0.047 m3/s).  </w:t>
            </w:r>
          </w:p>
        </w:tc>
        <w:tc>
          <w:tcPr>
            <w:tcW w:w="1826" w:type="pct"/>
          </w:tcPr>
          <w:p w14:paraId="005BB7C8" w14:textId="0454A754" w:rsidR="00ED2D4C" w:rsidRDefault="00960A41" w:rsidP="001C5604">
            <w:r>
              <w:t>The circulation test is too short to validate thermal model behavior. Longer-term data withheld from public view. Claims is study pick from minima and maxima, rather than average performance.</w:t>
            </w:r>
          </w:p>
        </w:tc>
      </w:tr>
      <w:tr w:rsidR="00ED2D4C" w14:paraId="7E8731CF" w14:textId="59A61E10" w:rsidTr="00ED2D4C">
        <w:tc>
          <w:tcPr>
            <w:tcW w:w="1393" w:type="pct"/>
          </w:tcPr>
          <w:p w14:paraId="515C614C" w14:textId="219688EA" w:rsidR="00ED2D4C" w:rsidRDefault="00ED2D4C" w:rsidP="001C5604">
            <w:r>
              <w:t xml:space="preserve">Frontier Observatory for Research in Geothermal Energy </w:t>
            </w:r>
            <w:r w:rsidR="00910471">
              <w:t xml:space="preserve">Utah </w:t>
            </w:r>
            <w:r>
              <w:t>(FORGE)</w:t>
            </w:r>
          </w:p>
        </w:tc>
        <w:tc>
          <w:tcPr>
            <w:tcW w:w="1781" w:type="pct"/>
          </w:tcPr>
          <w:p w14:paraId="600D6FCF" w14:textId="60459241" w:rsidR="00ED2D4C" w:rsidRDefault="00960A41" w:rsidP="001C5604">
            <w:r>
              <w:t>Granite, gneiss, and diorite rock; data for drilling and stimulation, down-hole temperature/tracer data</w:t>
            </w:r>
            <w:r w:rsidR="00217A40">
              <w:t>;</w:t>
            </w:r>
            <w:r>
              <w:t xml:space="preserve"> microseismic data</w:t>
            </w:r>
            <w:r w:rsidR="00217A40">
              <w:t>;</w:t>
            </w:r>
            <w:r>
              <w:t xml:space="preserve"> multi-</w:t>
            </w:r>
            <w:r>
              <w:lastRenderedPageBreak/>
              <w:t>stage well completion with sand proppant;</w:t>
            </w:r>
            <w:r w:rsidR="00217A40">
              <w:t xml:space="preserve"> data used for testing other</w:t>
            </w:r>
            <w:r>
              <w:t xml:space="preserve"> </w:t>
            </w:r>
            <w:r w:rsidR="00217A40">
              <w:t>numerical models; 30-day flow test at 420 gpm (0.026 m</w:t>
            </w:r>
            <w:r w:rsidR="00217A40" w:rsidRPr="00217A40">
              <w:rPr>
                <w:vertAlign w:val="superscript"/>
              </w:rPr>
              <w:t>3</w:t>
            </w:r>
            <w:r w:rsidR="00217A40">
              <w:t>/s)</w:t>
            </w:r>
          </w:p>
        </w:tc>
        <w:tc>
          <w:tcPr>
            <w:tcW w:w="1826" w:type="pct"/>
          </w:tcPr>
          <w:p w14:paraId="54DC44AC" w14:textId="33788BFF" w:rsidR="00ED2D4C" w:rsidRDefault="00217A40" w:rsidP="001C5604">
            <w:r>
              <w:lastRenderedPageBreak/>
              <w:t>The circulation test is too short to validate thermal model behavior. Experiment plans do not include long-term high-rate circulation.</w:t>
            </w:r>
            <w:r w:rsidR="00A80115">
              <w:t xml:space="preserve"> </w:t>
            </w:r>
            <w:r w:rsidR="00A80115">
              <w:lastRenderedPageBreak/>
              <w:t>An adjacent site is actively being developed without a meaningful public data release.</w:t>
            </w:r>
          </w:p>
        </w:tc>
      </w:tr>
      <w:tr w:rsidR="00894BA9" w14:paraId="49FF742C" w14:textId="77777777" w:rsidTr="00ED2D4C">
        <w:tc>
          <w:tcPr>
            <w:tcW w:w="1393" w:type="pct"/>
          </w:tcPr>
          <w:p w14:paraId="5D0381ED" w14:textId="0F0F2814" w:rsidR="00894BA9" w:rsidRPr="00ED2D4C" w:rsidRDefault="00894BA9" w:rsidP="001C5604">
            <w:r>
              <w:lastRenderedPageBreak/>
              <w:t>EGS Collab South Dakota (Collab)</w:t>
            </w:r>
          </w:p>
        </w:tc>
        <w:tc>
          <w:tcPr>
            <w:tcW w:w="1781" w:type="pct"/>
          </w:tcPr>
          <w:p w14:paraId="6A9C3E75" w14:textId="74802A93" w:rsidR="00894BA9" w:rsidRDefault="008C7D4A" w:rsidP="001C5604">
            <w:r>
              <w:t>Schist and amphibolite rock; dense data and instrumentation;</w:t>
            </w:r>
            <w:r w:rsidR="00735326">
              <w:t xml:space="preserve"> detailed site data and models; 10-m scale testbed;</w:t>
            </w:r>
            <w:r>
              <w:t xml:space="preserve"> </w:t>
            </w:r>
            <w:r w:rsidR="00735326">
              <w:t>300-day circulation test at only 0.1 gpm (0.0000067 m</w:t>
            </w:r>
            <w:r w:rsidR="00735326" w:rsidRPr="00735326">
              <w:rPr>
                <w:vertAlign w:val="superscript"/>
              </w:rPr>
              <w:t>3</w:t>
            </w:r>
            <w:r w:rsidR="00735326">
              <w:t>/s).</w:t>
            </w:r>
          </w:p>
        </w:tc>
        <w:tc>
          <w:tcPr>
            <w:tcW w:w="1826" w:type="pct"/>
          </w:tcPr>
          <w:p w14:paraId="0714F4C9" w14:textId="3D932101" w:rsidR="00894BA9" w:rsidRDefault="00735326" w:rsidP="001C5604">
            <w:r>
              <w:t>Excessively low flow rate and a diffuse production zone with flow from 4 wells and a mine drift. Monitoring wells interfered with flow through the site.</w:t>
            </w:r>
          </w:p>
        </w:tc>
      </w:tr>
      <w:tr w:rsidR="00ED2D4C" w14:paraId="1A44F50F" w14:textId="21436230" w:rsidTr="00ED2D4C">
        <w:tc>
          <w:tcPr>
            <w:tcW w:w="1393" w:type="pct"/>
          </w:tcPr>
          <w:p w14:paraId="238EDBB2" w14:textId="1F59D7E2" w:rsidR="00ED2D4C" w:rsidRDefault="00ED2D4C" w:rsidP="001C5604">
            <w:r w:rsidRPr="00ED2D4C">
              <w:t xml:space="preserve">Soultz-sous-Forêts </w:t>
            </w:r>
            <w:r>
              <w:t>(Soultz)</w:t>
            </w:r>
          </w:p>
        </w:tc>
        <w:tc>
          <w:tcPr>
            <w:tcW w:w="1781" w:type="pct"/>
          </w:tcPr>
          <w:p w14:paraId="3A8EFB21" w14:textId="4AB38148" w:rsidR="00ED2D4C" w:rsidRDefault="00A463D6" w:rsidP="001C5604">
            <w:r>
              <w:t>Metamorphic and hydrothermal altered granite rock; t</w:t>
            </w:r>
            <w:r w:rsidR="00496B75">
              <w:t>hree wells to &gt;5000 m depth; seismic data; power is delivered to the grid; 3-years of production data at 436 gpm (0.0275 m</w:t>
            </w:r>
            <w:r w:rsidR="00496B75" w:rsidRPr="00496B75">
              <w:rPr>
                <w:vertAlign w:val="superscript"/>
              </w:rPr>
              <w:t>3</w:t>
            </w:r>
            <w:r w:rsidR="00496B75">
              <w:t>/s)</w:t>
            </w:r>
          </w:p>
        </w:tc>
        <w:tc>
          <w:tcPr>
            <w:tcW w:w="1826" w:type="pct"/>
          </w:tcPr>
          <w:p w14:paraId="311A8DE6" w14:textId="25E3F9E8" w:rsidR="00ED2D4C" w:rsidRDefault="00496B75" w:rsidP="001C5604">
            <w:r>
              <w:t>Data is tricky to find. Flow rates were reduced after triggered seismicity at the site. Flow interacts with several faults.</w:t>
            </w:r>
          </w:p>
        </w:tc>
      </w:tr>
      <w:tr w:rsidR="00894BA9" w14:paraId="46B024FE" w14:textId="77777777" w:rsidTr="00ED2D4C">
        <w:tc>
          <w:tcPr>
            <w:tcW w:w="1393" w:type="pct"/>
          </w:tcPr>
          <w:p w14:paraId="06AB2F86" w14:textId="55C3F323" w:rsidR="00894BA9" w:rsidRPr="00894BA9" w:rsidRDefault="00894BA9" w:rsidP="001C5604">
            <w:r>
              <w:t>Pohang Korea (Pohang)</w:t>
            </w:r>
          </w:p>
        </w:tc>
        <w:tc>
          <w:tcPr>
            <w:tcW w:w="1781" w:type="pct"/>
          </w:tcPr>
          <w:p w14:paraId="704ACF04" w14:textId="5C0C21FF" w:rsidR="00894BA9" w:rsidRDefault="00A463D6" w:rsidP="001C5604">
            <w:r>
              <w:t>Granitic basement rock; two 4300 m deep wells; s</w:t>
            </w:r>
            <w:r w:rsidR="00496B75">
              <w:t xml:space="preserve">timulation data with </w:t>
            </w:r>
            <w:r>
              <w:t>soft-</w:t>
            </w:r>
            <w:r w:rsidR="00496B75">
              <w:t xml:space="preserve">cyclic-injection; largest triggered earthquake at an EGS site </w:t>
            </w:r>
            <w:r>
              <w:t>at</w:t>
            </w:r>
            <w:r w:rsidR="00496B75">
              <w:t xml:space="preserve"> Mw 5.</w:t>
            </w:r>
            <w:r>
              <w:t>5</w:t>
            </w:r>
            <w:r w:rsidR="00496B75">
              <w:t>.</w:t>
            </w:r>
          </w:p>
        </w:tc>
        <w:tc>
          <w:tcPr>
            <w:tcW w:w="1826" w:type="pct"/>
          </w:tcPr>
          <w:p w14:paraId="00F4B428" w14:textId="16F1F5D9" w:rsidR="00894BA9" w:rsidRDefault="00A463D6" w:rsidP="001C5604">
            <w:r>
              <w:t>Project canceled after a large earthquake was triggered during deep well stimulation in this strike-slip crustal stress regime.</w:t>
            </w:r>
          </w:p>
        </w:tc>
      </w:tr>
      <w:tr w:rsidR="00894BA9" w14:paraId="03889726" w14:textId="77777777" w:rsidTr="00ED2D4C">
        <w:tc>
          <w:tcPr>
            <w:tcW w:w="1393" w:type="pct"/>
          </w:tcPr>
          <w:p w14:paraId="7B751302" w14:textId="47C52057" w:rsidR="00894BA9" w:rsidRDefault="00894BA9" w:rsidP="001C5604">
            <w:r w:rsidRPr="00894BA9">
              <w:t>Puu Honuaula</w:t>
            </w:r>
            <w:r>
              <w:t xml:space="preserve"> Hawaii (DCHE)</w:t>
            </w:r>
          </w:p>
        </w:tc>
        <w:tc>
          <w:tcPr>
            <w:tcW w:w="1781" w:type="pct"/>
          </w:tcPr>
          <w:p w14:paraId="556737AD" w14:textId="42DBA5D3" w:rsidR="00894BA9" w:rsidRDefault="00A463D6" w:rsidP="001C5604">
            <w:r>
              <w:t>Coaxial borehole heat exchanger with detailed data that is often used for closed-loop well model validation.</w:t>
            </w:r>
          </w:p>
        </w:tc>
        <w:tc>
          <w:tcPr>
            <w:tcW w:w="1826" w:type="pct"/>
          </w:tcPr>
          <w:p w14:paraId="73CFBCBD" w14:textId="7FCC553A" w:rsidR="00894BA9" w:rsidRDefault="00A463D6" w:rsidP="001C5604">
            <w:r>
              <w:t>Not an EGS project.</w:t>
            </w:r>
          </w:p>
        </w:tc>
      </w:tr>
      <w:tr w:rsidR="00ED2D4C" w14:paraId="6C43A220" w14:textId="62C28ED0" w:rsidTr="00ED2D4C">
        <w:tc>
          <w:tcPr>
            <w:tcW w:w="1393" w:type="pct"/>
          </w:tcPr>
          <w:p w14:paraId="627A12A5" w14:textId="39897192" w:rsidR="00ED2D4C" w:rsidRDefault="00ED2D4C" w:rsidP="001C5604">
            <w:r>
              <w:t>Hijiori Japan (Hijiori)</w:t>
            </w:r>
          </w:p>
        </w:tc>
        <w:tc>
          <w:tcPr>
            <w:tcW w:w="1781" w:type="pct"/>
          </w:tcPr>
          <w:p w14:paraId="002A27C0" w14:textId="0307F3A0" w:rsidR="00ED2D4C" w:rsidRDefault="0012387A" w:rsidP="001C5604">
            <w:r>
              <w:t>Granodiorite rock; three wells drilled to 2300 m depth and one to 1800 m</w:t>
            </w:r>
            <w:r w:rsidR="00F21CF5">
              <w:t xml:space="preserve"> depth</w:t>
            </w:r>
            <w:r>
              <w:t xml:space="preserve">; high-quality microseismic data; 90-day flow test at </w:t>
            </w:r>
            <w:r w:rsidR="00F21CF5">
              <w:t>&lt;840 bpm (0.053 m3/s).</w:t>
            </w:r>
          </w:p>
        </w:tc>
        <w:tc>
          <w:tcPr>
            <w:tcW w:w="1826" w:type="pct"/>
          </w:tcPr>
          <w:p w14:paraId="5CEDAEBB" w14:textId="4B18FEC3" w:rsidR="00ED2D4C" w:rsidRDefault="009566F3" w:rsidP="001C5604">
            <w:r>
              <w:t xml:space="preserve">All wells were predominantly vertical </w:t>
            </w:r>
            <w:r w:rsidR="00653D80">
              <w:t>while the stress regime was complex normally faulted. This results in poor hydraulic connectivity.</w:t>
            </w:r>
          </w:p>
        </w:tc>
      </w:tr>
    </w:tbl>
    <w:p w14:paraId="112B1F95" w14:textId="39AF826D" w:rsidR="00ED2D4C" w:rsidRDefault="00894BA9" w:rsidP="007603C7">
      <w:r>
        <w:t>*To date, no field dataset is sufficient to validate long-term thermal drawdown models.</w:t>
      </w:r>
    </w:p>
    <w:p w14:paraId="6E3DBF7D" w14:textId="02BF2849" w:rsidR="00894BA9" w:rsidRDefault="007E5428" w:rsidP="007E5428">
      <w:pPr>
        <w:pStyle w:val="Heading1"/>
      </w:pPr>
      <w:r>
        <w:t>Blue Mountain</w:t>
      </w:r>
      <w:r w:rsidR="00910471">
        <w:t xml:space="preserve"> Nevada</w:t>
      </w:r>
      <w:r>
        <w:t xml:space="preserve"> (Project Red)</w:t>
      </w:r>
    </w:p>
    <w:p w14:paraId="462582DC" w14:textId="6648E8CA" w:rsidR="007E5428" w:rsidRDefault="007E5428" w:rsidP="007E5428">
      <w:r>
        <w:t xml:space="preserve">Modeling reservoir performance at Blue Mountain Nevada can take more than one approach. When field data is already available, the most common approach is </w:t>
      </w:r>
      <w:r w:rsidRPr="007E5428">
        <w:rPr>
          <w:b/>
          <w:bCs/>
          <w:i/>
          <w:iCs/>
        </w:rPr>
        <w:t>history matching</w:t>
      </w:r>
      <w:r>
        <w:t xml:space="preserve">. This compares models to observations to verify that the outcome can be predicted and to infer site properties that were not known before the field test. Alternatively, the </w:t>
      </w:r>
      <w:r w:rsidRPr="007E5428">
        <w:rPr>
          <w:b/>
          <w:bCs/>
          <w:i/>
          <w:iCs/>
        </w:rPr>
        <w:t>Monte-Carlo</w:t>
      </w:r>
      <w:r>
        <w:t xml:space="preserve"> approach uses ensembles of models with ranges of inputs based-on what was known before the field data was obtained. Results are compared to observations to test whether the actual outcome was within the forecast range of possibilities. Our validation of </w:t>
      </w:r>
      <w:proofErr w:type="spellStart"/>
      <w:r>
        <w:t>GeoDT</w:t>
      </w:r>
      <w:proofErr w:type="spellEnd"/>
      <w:r>
        <w:t xml:space="preserve"> uses Monte-Carlo </w:t>
      </w:r>
      <w:r w:rsidR="00757989">
        <w:t>and</w:t>
      </w:r>
      <w:r>
        <w:t xml:space="preserve"> </w:t>
      </w:r>
      <w:proofErr w:type="gramStart"/>
      <w:r>
        <w:t>history</w:t>
      </w:r>
      <w:proofErr w:type="gramEnd"/>
      <w:r>
        <w:t xml:space="preserve"> matching. This approach helps contextualize how Blue Mountain performed in comparison to what could have reasonably </w:t>
      </w:r>
      <w:r w:rsidR="00272F66">
        <w:t xml:space="preserve">been </w:t>
      </w:r>
      <w:r>
        <w:t xml:space="preserve">expected. </w:t>
      </w:r>
      <w:r w:rsidR="00272F66">
        <w:t>L</w:t>
      </w:r>
      <w:r>
        <w:t>ack</w:t>
      </w:r>
      <w:r w:rsidR="00272F66">
        <w:t>ing</w:t>
      </w:r>
      <w:r>
        <w:t xml:space="preserve"> long-term </w:t>
      </w:r>
      <w:r w:rsidR="00272F66">
        <w:t xml:space="preserve">flow </w:t>
      </w:r>
      <w:r>
        <w:t>data, it is not yet possible to v</w:t>
      </w:r>
      <w:r w:rsidR="00272F66">
        <w:t xml:space="preserve">alidate </w:t>
      </w:r>
      <w:r>
        <w:t>thermal drawdown behavior for the field site.</w:t>
      </w:r>
      <w:r w:rsidR="00272F66">
        <w:t xml:space="preserve"> Likewise, details omitted from public record, such as the estimated well friction, reduce history-match accuracy.</w:t>
      </w:r>
    </w:p>
    <w:p w14:paraId="28208A2A" w14:textId="7DC8A6FA" w:rsidR="006B7349" w:rsidRDefault="006B7349" w:rsidP="007E5428">
      <w:r>
        <w:t>The complete set of simulation inputs are provided in “</w:t>
      </w:r>
      <w:proofErr w:type="spellStart"/>
      <w:r>
        <w:t>PRED</w:t>
      </w:r>
      <w:r w:rsidR="00757989">
        <w:t>_HISTMATCH</w:t>
      </w:r>
      <w:r>
        <w:t>.set</w:t>
      </w:r>
      <w:proofErr w:type="spellEnd"/>
      <w:r>
        <w:t>” with a summary of inputs that best match the field data presented here</w:t>
      </w:r>
      <w:r w:rsidR="003504C1">
        <w:t xml:space="preserve"> (</w:t>
      </w:r>
      <w:r w:rsidR="003504C1">
        <w:fldChar w:fldCharType="begin"/>
      </w:r>
      <w:r w:rsidR="003504C1">
        <w:instrText xml:space="preserve"> REF _Ref210060064 \h </w:instrText>
      </w:r>
      <w:r w:rsidR="003504C1">
        <w:fldChar w:fldCharType="separate"/>
      </w:r>
      <w:r w:rsidR="005D1BFA">
        <w:t xml:space="preserve">Figure </w:t>
      </w:r>
      <w:r w:rsidR="005D1BFA">
        <w:rPr>
          <w:noProof/>
        </w:rPr>
        <w:t>4</w:t>
      </w:r>
      <w:r w:rsidR="003504C1">
        <w:fldChar w:fldCharType="end"/>
      </w:r>
      <w:r w:rsidR="003504C1">
        <w:t>)</w:t>
      </w:r>
      <w:r>
        <w:t>.</w:t>
      </w:r>
      <w:r w:rsidR="00272F66">
        <w:t xml:space="preserve"> </w:t>
      </w:r>
    </w:p>
    <w:p w14:paraId="01770BB7" w14:textId="5ED79B3D" w:rsidR="003504C1" w:rsidRDefault="003504C1" w:rsidP="003504C1">
      <w:pPr>
        <w:pStyle w:val="Caption"/>
        <w:keepNext/>
      </w:pPr>
      <w:r>
        <w:lastRenderedPageBreak/>
        <w:t xml:space="preserve">Table </w:t>
      </w:r>
      <w:r>
        <w:fldChar w:fldCharType="begin"/>
      </w:r>
      <w:r>
        <w:instrText xml:space="preserve"> SEQ Table \* ARABIC </w:instrText>
      </w:r>
      <w:r>
        <w:fldChar w:fldCharType="separate"/>
      </w:r>
      <w:r w:rsidR="005D1BFA">
        <w:rPr>
          <w:noProof/>
        </w:rPr>
        <w:t>4</w:t>
      </w:r>
      <w:r>
        <w:fldChar w:fldCharType="end"/>
      </w:r>
      <w:r>
        <w:t xml:space="preserve">. Overview of history-matched </w:t>
      </w:r>
      <w:r w:rsidR="00D375AD">
        <w:t xml:space="preserve">GeoDT models for </w:t>
      </w:r>
      <w:r>
        <w:t>Blue Mountain EGS</w:t>
      </w:r>
      <w:r w:rsidR="00D375AD">
        <w:t xml:space="preserve"> using </w:t>
      </w:r>
      <w:r>
        <w:t>2000 scenarios.</w:t>
      </w:r>
    </w:p>
    <w:tbl>
      <w:tblPr>
        <w:tblW w:w="5000" w:type="pct"/>
        <w:tblLook w:val="04A0" w:firstRow="1" w:lastRow="0" w:firstColumn="1" w:lastColumn="0" w:noHBand="0" w:noVBand="1"/>
      </w:tblPr>
      <w:tblGrid>
        <w:gridCol w:w="2185"/>
        <w:gridCol w:w="785"/>
        <w:gridCol w:w="766"/>
        <w:gridCol w:w="859"/>
        <w:gridCol w:w="275"/>
        <w:gridCol w:w="785"/>
        <w:gridCol w:w="955"/>
        <w:gridCol w:w="331"/>
        <w:gridCol w:w="783"/>
        <w:gridCol w:w="783"/>
        <w:gridCol w:w="833"/>
      </w:tblGrid>
      <w:tr w:rsidR="00757989" w:rsidRPr="00757989" w14:paraId="2CCA7D31" w14:textId="77777777" w:rsidTr="00757989">
        <w:trPr>
          <w:trHeight w:val="46"/>
        </w:trPr>
        <w:tc>
          <w:tcPr>
            <w:tcW w:w="5000" w:type="pct"/>
            <w:gridSpan w:val="11"/>
            <w:tcBorders>
              <w:top w:val="single" w:sz="8" w:space="0" w:color="auto"/>
              <w:left w:val="single" w:sz="8" w:space="0" w:color="auto"/>
              <w:bottom w:val="single" w:sz="8" w:space="0" w:color="auto"/>
              <w:right w:val="single" w:sz="8" w:space="0" w:color="000000"/>
            </w:tcBorders>
            <w:shd w:val="clear" w:color="000000" w:fill="CAEDFB"/>
            <w:vAlign w:val="center"/>
            <w:hideMark/>
          </w:tcPr>
          <w:p w14:paraId="7932CC09" w14:textId="77777777" w:rsidR="00757989" w:rsidRPr="00757989" w:rsidRDefault="00757989" w:rsidP="00757989">
            <w:pPr>
              <w:spacing w:after="0" w:line="240" w:lineRule="auto"/>
              <w:rPr>
                <w:rFonts w:eastAsia="Times New Roman" w:cs="Times New Roman"/>
                <w:b/>
                <w:bCs/>
                <w:i/>
                <w:iCs/>
                <w:color w:val="000000"/>
                <w:kern w:val="0"/>
                <w:sz w:val="16"/>
                <w:szCs w:val="16"/>
                <w14:ligatures w14:val="none"/>
              </w:rPr>
            </w:pPr>
            <w:r w:rsidRPr="00757989">
              <w:rPr>
                <w:rFonts w:eastAsia="Times New Roman" w:cs="Times New Roman"/>
                <w:b/>
                <w:bCs/>
                <w:i/>
                <w:iCs/>
                <w:color w:val="000000"/>
                <w:kern w:val="0"/>
                <w:sz w:val="16"/>
                <w:szCs w:val="16"/>
                <w14:ligatures w14:val="none"/>
              </w:rPr>
              <w:t>Input Metrics</w:t>
            </w:r>
          </w:p>
        </w:tc>
      </w:tr>
      <w:tr w:rsidR="00CC645D" w:rsidRPr="00757989" w14:paraId="6EA460C8"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CAEDFB"/>
            <w:vAlign w:val="center"/>
            <w:hideMark/>
          </w:tcPr>
          <w:p w14:paraId="6F318775"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Parameter</w:t>
            </w:r>
          </w:p>
        </w:tc>
        <w:tc>
          <w:tcPr>
            <w:tcW w:w="421" w:type="pct"/>
            <w:tcBorders>
              <w:top w:val="nil"/>
              <w:left w:val="nil"/>
              <w:bottom w:val="single" w:sz="8" w:space="0" w:color="auto"/>
              <w:right w:val="single" w:sz="8" w:space="0" w:color="auto"/>
            </w:tcBorders>
            <w:shd w:val="clear" w:color="000000" w:fill="CAEDFB"/>
            <w:vAlign w:val="center"/>
            <w:hideMark/>
          </w:tcPr>
          <w:p w14:paraId="5A26785B"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Unit</w:t>
            </w:r>
          </w:p>
        </w:tc>
        <w:tc>
          <w:tcPr>
            <w:tcW w:w="410" w:type="pct"/>
            <w:tcBorders>
              <w:top w:val="nil"/>
              <w:left w:val="nil"/>
              <w:bottom w:val="single" w:sz="8" w:space="0" w:color="auto"/>
              <w:right w:val="single" w:sz="8" w:space="0" w:color="auto"/>
            </w:tcBorders>
            <w:shd w:val="clear" w:color="000000" w:fill="CAEDFB"/>
            <w:vAlign w:val="center"/>
            <w:hideMark/>
          </w:tcPr>
          <w:p w14:paraId="10E427C8"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Target</w:t>
            </w:r>
          </w:p>
        </w:tc>
        <w:tc>
          <w:tcPr>
            <w:tcW w:w="1027" w:type="pct"/>
            <w:gridSpan w:val="3"/>
            <w:tcBorders>
              <w:top w:val="nil"/>
              <w:left w:val="nil"/>
              <w:bottom w:val="single" w:sz="8" w:space="0" w:color="auto"/>
              <w:right w:val="single" w:sz="8" w:space="0" w:color="auto"/>
            </w:tcBorders>
            <w:shd w:val="clear" w:color="000000" w:fill="CAEDFB"/>
            <w:vAlign w:val="center"/>
            <w:hideMark/>
          </w:tcPr>
          <w:p w14:paraId="1BA64731" w14:textId="7FE6749D"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Best</w:t>
            </w:r>
            <w:r>
              <w:rPr>
                <w:rFonts w:eastAsia="Times New Roman" w:cs="Times New Roman"/>
                <w:b/>
                <w:bCs/>
                <w:color w:val="000000"/>
                <w:kern w:val="0"/>
                <w:sz w:val="16"/>
                <w:szCs w:val="16"/>
                <w14:ligatures w14:val="none"/>
              </w:rPr>
              <w:t xml:space="preserve"> to Target</w:t>
            </w:r>
          </w:p>
        </w:tc>
        <w:tc>
          <w:tcPr>
            <w:tcW w:w="511" w:type="pct"/>
            <w:tcBorders>
              <w:top w:val="nil"/>
              <w:left w:val="nil"/>
              <w:bottom w:val="single" w:sz="8" w:space="0" w:color="auto"/>
              <w:right w:val="nil"/>
            </w:tcBorders>
            <w:shd w:val="clear" w:color="000000" w:fill="CAEDFB"/>
            <w:vAlign w:val="center"/>
            <w:hideMark/>
          </w:tcPr>
          <w:p w14:paraId="5505E975" w14:textId="743C1404" w:rsidR="00CC645D" w:rsidRPr="00757989" w:rsidRDefault="00CC645D" w:rsidP="00757989">
            <w:pPr>
              <w:spacing w:after="0" w:line="240" w:lineRule="auto"/>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Top</w:t>
            </w:r>
            <w:r w:rsidRPr="00757989">
              <w:rPr>
                <w:rFonts w:eastAsia="Times New Roman" w:cs="Times New Roman"/>
                <w:b/>
                <w:bCs/>
                <w:color w:val="000000"/>
                <w:kern w:val="0"/>
                <w:sz w:val="16"/>
                <w:szCs w:val="16"/>
                <w14:ligatures w14:val="none"/>
              </w:rPr>
              <w:t xml:space="preserve"> 50</w:t>
            </w:r>
          </w:p>
        </w:tc>
        <w:tc>
          <w:tcPr>
            <w:tcW w:w="177" w:type="pct"/>
            <w:tcBorders>
              <w:top w:val="nil"/>
              <w:left w:val="nil"/>
              <w:bottom w:val="single" w:sz="8" w:space="0" w:color="auto"/>
              <w:right w:val="nil"/>
            </w:tcBorders>
            <w:shd w:val="clear" w:color="000000" w:fill="CAEDFB"/>
            <w:vAlign w:val="center"/>
            <w:hideMark/>
          </w:tcPr>
          <w:p w14:paraId="5EDA125B"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CAEDFB"/>
            <w:vAlign w:val="center"/>
            <w:hideMark/>
          </w:tcPr>
          <w:p w14:paraId="6EFF19A1"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CAEDFB"/>
            <w:vAlign w:val="center"/>
            <w:hideMark/>
          </w:tcPr>
          <w:p w14:paraId="4B8716E5"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Min</w:t>
            </w:r>
          </w:p>
        </w:tc>
        <w:tc>
          <w:tcPr>
            <w:tcW w:w="445" w:type="pct"/>
            <w:tcBorders>
              <w:top w:val="nil"/>
              <w:left w:val="nil"/>
              <w:bottom w:val="single" w:sz="8" w:space="0" w:color="auto"/>
              <w:right w:val="single" w:sz="8" w:space="0" w:color="auto"/>
            </w:tcBorders>
            <w:shd w:val="clear" w:color="000000" w:fill="CAEDFB"/>
            <w:vAlign w:val="center"/>
            <w:hideMark/>
          </w:tcPr>
          <w:p w14:paraId="18862E21"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Max</w:t>
            </w:r>
          </w:p>
        </w:tc>
      </w:tr>
      <w:tr w:rsidR="005D6D9C" w:rsidRPr="00757989" w14:paraId="654B2567"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3321CCB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Injection Rate</w:t>
            </w:r>
          </w:p>
        </w:tc>
        <w:tc>
          <w:tcPr>
            <w:tcW w:w="421" w:type="pct"/>
            <w:tcBorders>
              <w:top w:val="nil"/>
              <w:left w:val="nil"/>
              <w:bottom w:val="single" w:sz="8" w:space="0" w:color="auto"/>
              <w:right w:val="single" w:sz="8" w:space="0" w:color="auto"/>
            </w:tcBorders>
            <w:shd w:val="clear" w:color="000000" w:fill="FFFFFF"/>
            <w:vAlign w:val="center"/>
            <w:hideMark/>
          </w:tcPr>
          <w:p w14:paraId="32B7969F" w14:textId="77777777" w:rsidR="00757989" w:rsidRPr="00757989" w:rsidRDefault="00757989" w:rsidP="00757989">
            <w:pPr>
              <w:spacing w:after="0" w:line="240" w:lineRule="auto"/>
              <w:rPr>
                <w:rFonts w:eastAsia="Times New Roman" w:cs="Times New Roman"/>
                <w:color w:val="000000"/>
                <w:kern w:val="0"/>
                <w:sz w:val="16"/>
                <w:szCs w:val="16"/>
                <w14:ligatures w14:val="none"/>
              </w:rPr>
            </w:pPr>
            <w:proofErr w:type="spellStart"/>
            <w:r w:rsidRPr="00757989">
              <w:rPr>
                <w:rFonts w:eastAsia="Times New Roman" w:cs="Times New Roman"/>
                <w:color w:val="000000"/>
                <w:kern w:val="0"/>
                <w:sz w:val="16"/>
                <w:szCs w:val="16"/>
                <w14:ligatures w14:val="none"/>
              </w:rPr>
              <w:t>gpm</w:t>
            </w:r>
            <w:proofErr w:type="spellEnd"/>
          </w:p>
        </w:tc>
        <w:tc>
          <w:tcPr>
            <w:tcW w:w="410" w:type="pct"/>
            <w:tcBorders>
              <w:top w:val="nil"/>
              <w:left w:val="nil"/>
              <w:bottom w:val="single" w:sz="8" w:space="0" w:color="auto"/>
              <w:right w:val="single" w:sz="8" w:space="0" w:color="auto"/>
            </w:tcBorders>
            <w:shd w:val="clear" w:color="000000" w:fill="FFFFFF"/>
            <w:vAlign w:val="center"/>
            <w:hideMark/>
          </w:tcPr>
          <w:p w14:paraId="481A1B3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803.2</w:t>
            </w:r>
          </w:p>
        </w:tc>
        <w:tc>
          <w:tcPr>
            <w:tcW w:w="460" w:type="pct"/>
            <w:tcBorders>
              <w:top w:val="nil"/>
              <w:left w:val="nil"/>
              <w:bottom w:val="single" w:sz="8" w:space="0" w:color="auto"/>
              <w:right w:val="nil"/>
            </w:tcBorders>
            <w:shd w:val="clear" w:color="000000" w:fill="FFFFFF"/>
            <w:vAlign w:val="center"/>
            <w:hideMark/>
          </w:tcPr>
          <w:p w14:paraId="2C9200F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803.1</w:t>
            </w:r>
          </w:p>
        </w:tc>
        <w:tc>
          <w:tcPr>
            <w:tcW w:w="147" w:type="pct"/>
            <w:tcBorders>
              <w:top w:val="nil"/>
              <w:left w:val="nil"/>
              <w:bottom w:val="single" w:sz="8" w:space="0" w:color="auto"/>
              <w:right w:val="nil"/>
            </w:tcBorders>
            <w:shd w:val="clear" w:color="000000" w:fill="FFFFFF"/>
            <w:vAlign w:val="center"/>
            <w:hideMark/>
          </w:tcPr>
          <w:p w14:paraId="783AE4B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0665C93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09E49FB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803.1</w:t>
            </w:r>
          </w:p>
        </w:tc>
        <w:tc>
          <w:tcPr>
            <w:tcW w:w="177" w:type="pct"/>
            <w:tcBorders>
              <w:top w:val="nil"/>
              <w:left w:val="nil"/>
              <w:bottom w:val="single" w:sz="8" w:space="0" w:color="auto"/>
              <w:right w:val="nil"/>
            </w:tcBorders>
            <w:shd w:val="clear" w:color="000000" w:fill="FFFFFF"/>
            <w:vAlign w:val="center"/>
            <w:hideMark/>
          </w:tcPr>
          <w:p w14:paraId="22CF0DF0"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7C56725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1B6DA91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58FC621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3D94440E"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0EE6CA9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Tortuosity</w:t>
            </w:r>
          </w:p>
        </w:tc>
        <w:tc>
          <w:tcPr>
            <w:tcW w:w="421" w:type="pct"/>
            <w:tcBorders>
              <w:top w:val="nil"/>
              <w:left w:val="nil"/>
              <w:bottom w:val="single" w:sz="8" w:space="0" w:color="auto"/>
              <w:right w:val="single" w:sz="8" w:space="0" w:color="auto"/>
            </w:tcBorders>
            <w:shd w:val="clear" w:color="000000" w:fill="FFFFFF"/>
            <w:vAlign w:val="center"/>
            <w:hideMark/>
          </w:tcPr>
          <w:p w14:paraId="46F6EB7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ratio</w:t>
            </w:r>
          </w:p>
        </w:tc>
        <w:tc>
          <w:tcPr>
            <w:tcW w:w="410" w:type="pct"/>
            <w:tcBorders>
              <w:top w:val="nil"/>
              <w:left w:val="nil"/>
              <w:bottom w:val="single" w:sz="8" w:space="0" w:color="auto"/>
              <w:right w:val="single" w:sz="8" w:space="0" w:color="auto"/>
            </w:tcBorders>
            <w:shd w:val="clear" w:color="000000" w:fill="FFFFFF"/>
            <w:vAlign w:val="center"/>
            <w:hideMark/>
          </w:tcPr>
          <w:p w14:paraId="09B3B0D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0.707</w:t>
            </w:r>
          </w:p>
        </w:tc>
        <w:tc>
          <w:tcPr>
            <w:tcW w:w="460" w:type="pct"/>
            <w:tcBorders>
              <w:top w:val="nil"/>
              <w:left w:val="nil"/>
              <w:bottom w:val="single" w:sz="8" w:space="0" w:color="auto"/>
              <w:right w:val="nil"/>
            </w:tcBorders>
            <w:shd w:val="clear" w:color="000000" w:fill="FFFFFF"/>
            <w:vAlign w:val="center"/>
            <w:hideMark/>
          </w:tcPr>
          <w:p w14:paraId="4D94BB1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0.707</w:t>
            </w:r>
          </w:p>
        </w:tc>
        <w:tc>
          <w:tcPr>
            <w:tcW w:w="147" w:type="pct"/>
            <w:tcBorders>
              <w:top w:val="nil"/>
              <w:left w:val="nil"/>
              <w:bottom w:val="single" w:sz="8" w:space="0" w:color="auto"/>
              <w:right w:val="nil"/>
            </w:tcBorders>
            <w:shd w:val="clear" w:color="000000" w:fill="FFFFFF"/>
            <w:vAlign w:val="center"/>
            <w:hideMark/>
          </w:tcPr>
          <w:p w14:paraId="5DDA530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1BAFD5B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43A67A5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0.707</w:t>
            </w:r>
          </w:p>
        </w:tc>
        <w:tc>
          <w:tcPr>
            <w:tcW w:w="177" w:type="pct"/>
            <w:tcBorders>
              <w:top w:val="nil"/>
              <w:left w:val="nil"/>
              <w:bottom w:val="single" w:sz="8" w:space="0" w:color="auto"/>
              <w:right w:val="nil"/>
            </w:tcBorders>
            <w:shd w:val="clear" w:color="000000" w:fill="FFFFFF"/>
            <w:vAlign w:val="center"/>
            <w:hideMark/>
          </w:tcPr>
          <w:p w14:paraId="64B1140E"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785B47D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60E0968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22FC213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72266E9B"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7C03A29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Reservoir Temp</w:t>
            </w:r>
          </w:p>
        </w:tc>
        <w:tc>
          <w:tcPr>
            <w:tcW w:w="421" w:type="pct"/>
            <w:tcBorders>
              <w:top w:val="nil"/>
              <w:left w:val="nil"/>
              <w:bottom w:val="single" w:sz="8" w:space="0" w:color="auto"/>
              <w:right w:val="single" w:sz="8" w:space="0" w:color="auto"/>
            </w:tcBorders>
            <w:shd w:val="clear" w:color="000000" w:fill="FFFFFF"/>
            <w:vAlign w:val="center"/>
            <w:hideMark/>
          </w:tcPr>
          <w:p w14:paraId="3280EB4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C</w:t>
            </w:r>
          </w:p>
        </w:tc>
        <w:tc>
          <w:tcPr>
            <w:tcW w:w="410" w:type="pct"/>
            <w:tcBorders>
              <w:top w:val="nil"/>
              <w:left w:val="nil"/>
              <w:bottom w:val="single" w:sz="8" w:space="0" w:color="auto"/>
              <w:right w:val="single" w:sz="8" w:space="0" w:color="auto"/>
            </w:tcBorders>
            <w:shd w:val="clear" w:color="000000" w:fill="FFFFFF"/>
            <w:vAlign w:val="center"/>
            <w:hideMark/>
          </w:tcPr>
          <w:p w14:paraId="16CE984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185.3</w:t>
            </w:r>
          </w:p>
        </w:tc>
        <w:tc>
          <w:tcPr>
            <w:tcW w:w="460" w:type="pct"/>
            <w:tcBorders>
              <w:top w:val="nil"/>
              <w:left w:val="nil"/>
              <w:bottom w:val="single" w:sz="8" w:space="0" w:color="auto"/>
              <w:right w:val="nil"/>
            </w:tcBorders>
            <w:shd w:val="clear" w:color="000000" w:fill="FFFFFF"/>
            <w:vAlign w:val="center"/>
            <w:hideMark/>
          </w:tcPr>
          <w:p w14:paraId="0EB57A7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185.3</w:t>
            </w:r>
          </w:p>
        </w:tc>
        <w:tc>
          <w:tcPr>
            <w:tcW w:w="147" w:type="pct"/>
            <w:tcBorders>
              <w:top w:val="nil"/>
              <w:left w:val="nil"/>
              <w:bottom w:val="single" w:sz="8" w:space="0" w:color="auto"/>
              <w:right w:val="nil"/>
            </w:tcBorders>
            <w:shd w:val="clear" w:color="000000" w:fill="FFFFFF"/>
            <w:vAlign w:val="center"/>
            <w:hideMark/>
          </w:tcPr>
          <w:p w14:paraId="632825C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163E61D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723C5C6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185.3</w:t>
            </w:r>
          </w:p>
        </w:tc>
        <w:tc>
          <w:tcPr>
            <w:tcW w:w="177" w:type="pct"/>
            <w:tcBorders>
              <w:top w:val="nil"/>
              <w:left w:val="nil"/>
              <w:bottom w:val="single" w:sz="8" w:space="0" w:color="auto"/>
              <w:right w:val="nil"/>
            </w:tcBorders>
            <w:shd w:val="clear" w:color="000000" w:fill="FFFFFF"/>
            <w:vAlign w:val="center"/>
            <w:hideMark/>
          </w:tcPr>
          <w:p w14:paraId="10B2D44F"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3787A75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6A2BFA9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3438627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535987AE"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476E286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Production Pressure</w:t>
            </w:r>
          </w:p>
        </w:tc>
        <w:tc>
          <w:tcPr>
            <w:tcW w:w="421" w:type="pct"/>
            <w:tcBorders>
              <w:top w:val="nil"/>
              <w:left w:val="nil"/>
              <w:bottom w:val="single" w:sz="8" w:space="0" w:color="auto"/>
              <w:right w:val="single" w:sz="8" w:space="0" w:color="auto"/>
            </w:tcBorders>
            <w:shd w:val="clear" w:color="000000" w:fill="FFFFFF"/>
            <w:vAlign w:val="center"/>
            <w:hideMark/>
          </w:tcPr>
          <w:p w14:paraId="6811714D"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psi</w:t>
            </w:r>
          </w:p>
        </w:tc>
        <w:tc>
          <w:tcPr>
            <w:tcW w:w="410" w:type="pct"/>
            <w:tcBorders>
              <w:top w:val="nil"/>
              <w:left w:val="nil"/>
              <w:bottom w:val="single" w:sz="8" w:space="0" w:color="auto"/>
              <w:right w:val="single" w:sz="8" w:space="0" w:color="auto"/>
            </w:tcBorders>
            <w:shd w:val="clear" w:color="000000" w:fill="FFFFFF"/>
            <w:vAlign w:val="center"/>
            <w:hideMark/>
          </w:tcPr>
          <w:p w14:paraId="00348E6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200</w:t>
            </w:r>
          </w:p>
        </w:tc>
        <w:tc>
          <w:tcPr>
            <w:tcW w:w="460" w:type="pct"/>
            <w:tcBorders>
              <w:top w:val="nil"/>
              <w:left w:val="nil"/>
              <w:bottom w:val="single" w:sz="8" w:space="0" w:color="auto"/>
              <w:right w:val="nil"/>
            </w:tcBorders>
            <w:shd w:val="clear" w:color="000000" w:fill="FFFFFF"/>
            <w:vAlign w:val="center"/>
            <w:hideMark/>
          </w:tcPr>
          <w:p w14:paraId="7B481A2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200</w:t>
            </w:r>
          </w:p>
        </w:tc>
        <w:tc>
          <w:tcPr>
            <w:tcW w:w="147" w:type="pct"/>
            <w:tcBorders>
              <w:top w:val="nil"/>
              <w:left w:val="nil"/>
              <w:bottom w:val="single" w:sz="8" w:space="0" w:color="auto"/>
              <w:right w:val="nil"/>
            </w:tcBorders>
            <w:shd w:val="clear" w:color="000000" w:fill="FFFFFF"/>
            <w:vAlign w:val="center"/>
            <w:hideMark/>
          </w:tcPr>
          <w:p w14:paraId="18201301"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2185BE2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22DC4E6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200</w:t>
            </w:r>
          </w:p>
        </w:tc>
        <w:tc>
          <w:tcPr>
            <w:tcW w:w="177" w:type="pct"/>
            <w:tcBorders>
              <w:top w:val="nil"/>
              <w:left w:val="nil"/>
              <w:bottom w:val="single" w:sz="8" w:space="0" w:color="auto"/>
              <w:right w:val="nil"/>
            </w:tcBorders>
            <w:shd w:val="clear" w:color="000000" w:fill="FFFFFF"/>
            <w:vAlign w:val="center"/>
            <w:hideMark/>
          </w:tcPr>
          <w:p w14:paraId="78B9CC9E"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0AEBB08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0EDEF5F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1A8DF76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3862879A"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2CB706D0" w14:textId="150879E5" w:rsidR="00757989" w:rsidRPr="00757989" w:rsidRDefault="005D6D9C" w:rsidP="00757989">
            <w:pPr>
              <w:spacing w:after="0" w:line="240" w:lineRule="auto"/>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Fracture Closure Pressure</w:t>
            </w:r>
          </w:p>
        </w:tc>
        <w:tc>
          <w:tcPr>
            <w:tcW w:w="421" w:type="pct"/>
            <w:tcBorders>
              <w:top w:val="nil"/>
              <w:left w:val="nil"/>
              <w:bottom w:val="single" w:sz="8" w:space="0" w:color="auto"/>
              <w:right w:val="single" w:sz="8" w:space="0" w:color="auto"/>
            </w:tcBorders>
            <w:shd w:val="clear" w:color="000000" w:fill="FFFFFF"/>
            <w:vAlign w:val="center"/>
            <w:hideMark/>
          </w:tcPr>
          <w:p w14:paraId="048D22E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psi</w:t>
            </w:r>
          </w:p>
        </w:tc>
        <w:tc>
          <w:tcPr>
            <w:tcW w:w="410" w:type="pct"/>
            <w:tcBorders>
              <w:top w:val="nil"/>
              <w:left w:val="nil"/>
              <w:bottom w:val="single" w:sz="8" w:space="0" w:color="auto"/>
              <w:right w:val="single" w:sz="8" w:space="0" w:color="auto"/>
            </w:tcBorders>
            <w:shd w:val="clear" w:color="000000" w:fill="FFFFFF"/>
            <w:vAlign w:val="center"/>
            <w:hideMark/>
          </w:tcPr>
          <w:p w14:paraId="3581648B" w14:textId="0800F090" w:rsidR="00757989" w:rsidRPr="00757989" w:rsidRDefault="005D6D9C" w:rsidP="00757989">
            <w:pPr>
              <w:spacing w:after="0" w:line="240" w:lineRule="auto"/>
              <w:jc w:val="righ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2300</w:t>
            </w:r>
          </w:p>
        </w:tc>
        <w:tc>
          <w:tcPr>
            <w:tcW w:w="460" w:type="pct"/>
            <w:tcBorders>
              <w:top w:val="nil"/>
              <w:left w:val="nil"/>
              <w:bottom w:val="single" w:sz="8" w:space="0" w:color="auto"/>
              <w:right w:val="nil"/>
            </w:tcBorders>
            <w:shd w:val="clear" w:color="000000" w:fill="FFFFFF"/>
            <w:vAlign w:val="center"/>
            <w:hideMark/>
          </w:tcPr>
          <w:p w14:paraId="3FFAF3CD" w14:textId="33C6B5FF" w:rsidR="00757989" w:rsidRPr="00757989" w:rsidRDefault="005D6D9C" w:rsidP="00757989">
            <w:pPr>
              <w:spacing w:after="0" w:line="240" w:lineRule="auto"/>
              <w:jc w:val="righ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2300</w:t>
            </w:r>
          </w:p>
        </w:tc>
        <w:tc>
          <w:tcPr>
            <w:tcW w:w="147" w:type="pct"/>
            <w:tcBorders>
              <w:top w:val="nil"/>
              <w:left w:val="nil"/>
              <w:bottom w:val="single" w:sz="8" w:space="0" w:color="auto"/>
              <w:right w:val="nil"/>
            </w:tcBorders>
            <w:shd w:val="clear" w:color="000000" w:fill="FFFFFF"/>
            <w:vAlign w:val="center"/>
            <w:hideMark/>
          </w:tcPr>
          <w:p w14:paraId="1967C80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3D70A19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24F4AFF2" w14:textId="74DDEA5F" w:rsidR="00757989" w:rsidRPr="00757989" w:rsidRDefault="005D6D9C" w:rsidP="00757989">
            <w:pPr>
              <w:spacing w:after="0" w:line="240" w:lineRule="auto"/>
              <w:jc w:val="righ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2300</w:t>
            </w:r>
          </w:p>
        </w:tc>
        <w:tc>
          <w:tcPr>
            <w:tcW w:w="177" w:type="pct"/>
            <w:tcBorders>
              <w:top w:val="nil"/>
              <w:left w:val="nil"/>
              <w:bottom w:val="single" w:sz="8" w:space="0" w:color="auto"/>
              <w:right w:val="nil"/>
            </w:tcBorders>
            <w:shd w:val="clear" w:color="000000" w:fill="FFFFFF"/>
            <w:vAlign w:val="center"/>
            <w:hideMark/>
          </w:tcPr>
          <w:p w14:paraId="5A0E9B53"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7D6992C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563084A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1E5EDD7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757989" w:rsidRPr="00757989" w14:paraId="0941BF20" w14:textId="77777777" w:rsidTr="00757989">
        <w:trPr>
          <w:trHeight w:val="46"/>
        </w:trPr>
        <w:tc>
          <w:tcPr>
            <w:tcW w:w="5000" w:type="pct"/>
            <w:gridSpan w:val="11"/>
            <w:tcBorders>
              <w:top w:val="single" w:sz="8" w:space="0" w:color="auto"/>
              <w:left w:val="single" w:sz="8" w:space="0" w:color="auto"/>
              <w:bottom w:val="single" w:sz="8" w:space="0" w:color="auto"/>
              <w:right w:val="single" w:sz="8" w:space="0" w:color="000000"/>
            </w:tcBorders>
            <w:shd w:val="clear" w:color="000000" w:fill="F2CEEF"/>
            <w:vAlign w:val="center"/>
            <w:hideMark/>
          </w:tcPr>
          <w:p w14:paraId="36F8FE54" w14:textId="77777777" w:rsidR="00757989" w:rsidRPr="00757989" w:rsidRDefault="00757989" w:rsidP="00757989">
            <w:pPr>
              <w:spacing w:after="0" w:line="240" w:lineRule="auto"/>
              <w:rPr>
                <w:rFonts w:eastAsia="Times New Roman" w:cs="Times New Roman"/>
                <w:b/>
                <w:bCs/>
                <w:i/>
                <w:iCs/>
                <w:color w:val="000000"/>
                <w:kern w:val="0"/>
                <w:sz w:val="16"/>
                <w:szCs w:val="16"/>
                <w14:ligatures w14:val="none"/>
              </w:rPr>
            </w:pPr>
            <w:r w:rsidRPr="00757989">
              <w:rPr>
                <w:rFonts w:eastAsia="Times New Roman" w:cs="Times New Roman"/>
                <w:b/>
                <w:bCs/>
                <w:i/>
                <w:iCs/>
                <w:color w:val="000000"/>
                <w:kern w:val="0"/>
                <w:sz w:val="16"/>
                <w:szCs w:val="16"/>
                <w14:ligatures w14:val="none"/>
              </w:rPr>
              <w:t>Fitting Parameters</w:t>
            </w:r>
          </w:p>
        </w:tc>
      </w:tr>
      <w:tr w:rsidR="00CC645D" w:rsidRPr="00757989" w14:paraId="33B35107"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2CEEF"/>
            <w:vAlign w:val="center"/>
            <w:hideMark/>
          </w:tcPr>
          <w:p w14:paraId="3A4DE39A"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Parameter</w:t>
            </w:r>
          </w:p>
        </w:tc>
        <w:tc>
          <w:tcPr>
            <w:tcW w:w="421" w:type="pct"/>
            <w:tcBorders>
              <w:top w:val="nil"/>
              <w:left w:val="nil"/>
              <w:bottom w:val="single" w:sz="8" w:space="0" w:color="auto"/>
              <w:right w:val="single" w:sz="8" w:space="0" w:color="auto"/>
            </w:tcBorders>
            <w:shd w:val="clear" w:color="000000" w:fill="F2CEEF"/>
            <w:vAlign w:val="center"/>
            <w:hideMark/>
          </w:tcPr>
          <w:p w14:paraId="59214E88"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Unit</w:t>
            </w:r>
          </w:p>
        </w:tc>
        <w:tc>
          <w:tcPr>
            <w:tcW w:w="410" w:type="pct"/>
            <w:tcBorders>
              <w:top w:val="nil"/>
              <w:left w:val="nil"/>
              <w:bottom w:val="single" w:sz="8" w:space="0" w:color="auto"/>
              <w:right w:val="single" w:sz="8" w:space="0" w:color="auto"/>
            </w:tcBorders>
            <w:shd w:val="clear" w:color="000000" w:fill="F2CEEF"/>
            <w:vAlign w:val="center"/>
            <w:hideMark/>
          </w:tcPr>
          <w:p w14:paraId="6DCE8B19"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Target</w:t>
            </w:r>
          </w:p>
        </w:tc>
        <w:tc>
          <w:tcPr>
            <w:tcW w:w="1027" w:type="pct"/>
            <w:gridSpan w:val="3"/>
            <w:tcBorders>
              <w:top w:val="nil"/>
              <w:left w:val="nil"/>
              <w:bottom w:val="single" w:sz="8" w:space="0" w:color="auto"/>
              <w:right w:val="single" w:sz="8" w:space="0" w:color="auto"/>
            </w:tcBorders>
            <w:shd w:val="clear" w:color="000000" w:fill="F2CEEF"/>
            <w:vAlign w:val="center"/>
            <w:hideMark/>
          </w:tcPr>
          <w:p w14:paraId="792A9933" w14:textId="2784B3BB"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Best</w:t>
            </w:r>
            <w:r>
              <w:rPr>
                <w:rFonts w:eastAsia="Times New Roman" w:cs="Times New Roman"/>
                <w:b/>
                <w:bCs/>
                <w:color w:val="000000"/>
                <w:kern w:val="0"/>
                <w:sz w:val="16"/>
                <w:szCs w:val="16"/>
                <w14:ligatures w14:val="none"/>
              </w:rPr>
              <w:t xml:space="preserve"> to Target</w:t>
            </w:r>
          </w:p>
        </w:tc>
        <w:tc>
          <w:tcPr>
            <w:tcW w:w="511" w:type="pct"/>
            <w:tcBorders>
              <w:top w:val="nil"/>
              <w:left w:val="nil"/>
              <w:bottom w:val="single" w:sz="8" w:space="0" w:color="auto"/>
              <w:right w:val="nil"/>
            </w:tcBorders>
            <w:shd w:val="clear" w:color="000000" w:fill="F2CEEF"/>
            <w:vAlign w:val="center"/>
            <w:hideMark/>
          </w:tcPr>
          <w:p w14:paraId="72443FDF" w14:textId="14D8409B" w:rsidR="00CC645D" w:rsidRPr="00757989" w:rsidRDefault="00CC645D" w:rsidP="00757989">
            <w:pPr>
              <w:spacing w:after="0" w:line="240" w:lineRule="auto"/>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Top</w:t>
            </w:r>
            <w:r w:rsidRPr="00757989">
              <w:rPr>
                <w:rFonts w:eastAsia="Times New Roman" w:cs="Times New Roman"/>
                <w:b/>
                <w:bCs/>
                <w:color w:val="000000"/>
                <w:kern w:val="0"/>
                <w:sz w:val="16"/>
                <w:szCs w:val="16"/>
                <w14:ligatures w14:val="none"/>
              </w:rPr>
              <w:t xml:space="preserve"> 50</w:t>
            </w:r>
          </w:p>
        </w:tc>
        <w:tc>
          <w:tcPr>
            <w:tcW w:w="177" w:type="pct"/>
            <w:tcBorders>
              <w:top w:val="nil"/>
              <w:left w:val="nil"/>
              <w:bottom w:val="single" w:sz="8" w:space="0" w:color="auto"/>
              <w:right w:val="nil"/>
            </w:tcBorders>
            <w:shd w:val="clear" w:color="000000" w:fill="F2CEEF"/>
            <w:vAlign w:val="center"/>
            <w:hideMark/>
          </w:tcPr>
          <w:p w14:paraId="3F534213"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2CEEF"/>
            <w:vAlign w:val="center"/>
            <w:hideMark/>
          </w:tcPr>
          <w:p w14:paraId="781ABAAD"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2CEEF"/>
            <w:vAlign w:val="center"/>
            <w:hideMark/>
          </w:tcPr>
          <w:p w14:paraId="34786EA4"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Min</w:t>
            </w:r>
          </w:p>
        </w:tc>
        <w:tc>
          <w:tcPr>
            <w:tcW w:w="445" w:type="pct"/>
            <w:tcBorders>
              <w:top w:val="nil"/>
              <w:left w:val="nil"/>
              <w:bottom w:val="single" w:sz="8" w:space="0" w:color="auto"/>
              <w:right w:val="single" w:sz="8" w:space="0" w:color="auto"/>
            </w:tcBorders>
            <w:shd w:val="clear" w:color="000000" w:fill="F2CEEF"/>
            <w:vAlign w:val="center"/>
            <w:hideMark/>
          </w:tcPr>
          <w:p w14:paraId="0B3963B8"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Max</w:t>
            </w:r>
          </w:p>
        </w:tc>
      </w:tr>
      <w:tr w:rsidR="005D6D9C" w:rsidRPr="00757989" w14:paraId="6FA813E1"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01384274"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Injection Pressure</w:t>
            </w:r>
          </w:p>
        </w:tc>
        <w:tc>
          <w:tcPr>
            <w:tcW w:w="421" w:type="pct"/>
            <w:tcBorders>
              <w:top w:val="nil"/>
              <w:left w:val="nil"/>
              <w:bottom w:val="single" w:sz="8" w:space="0" w:color="auto"/>
              <w:right w:val="single" w:sz="8" w:space="0" w:color="auto"/>
            </w:tcBorders>
            <w:shd w:val="clear" w:color="000000" w:fill="FFFFFF"/>
            <w:vAlign w:val="center"/>
            <w:hideMark/>
          </w:tcPr>
          <w:p w14:paraId="665A058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psi</w:t>
            </w:r>
          </w:p>
        </w:tc>
        <w:tc>
          <w:tcPr>
            <w:tcW w:w="410" w:type="pct"/>
            <w:tcBorders>
              <w:top w:val="nil"/>
              <w:left w:val="nil"/>
              <w:bottom w:val="single" w:sz="8" w:space="0" w:color="auto"/>
              <w:right w:val="single" w:sz="8" w:space="0" w:color="auto"/>
            </w:tcBorders>
            <w:shd w:val="clear" w:color="000000" w:fill="FFFFFF"/>
            <w:vAlign w:val="center"/>
            <w:hideMark/>
          </w:tcPr>
          <w:p w14:paraId="2691E38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1780.3</w:t>
            </w:r>
          </w:p>
        </w:tc>
        <w:tc>
          <w:tcPr>
            <w:tcW w:w="460" w:type="pct"/>
            <w:tcBorders>
              <w:top w:val="nil"/>
              <w:left w:val="nil"/>
              <w:bottom w:val="single" w:sz="8" w:space="0" w:color="auto"/>
              <w:right w:val="nil"/>
            </w:tcBorders>
            <w:shd w:val="clear" w:color="000000" w:fill="FFFFFF"/>
            <w:vAlign w:val="center"/>
            <w:hideMark/>
          </w:tcPr>
          <w:p w14:paraId="45D2AA2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1775.2</w:t>
            </w:r>
          </w:p>
        </w:tc>
        <w:tc>
          <w:tcPr>
            <w:tcW w:w="147" w:type="pct"/>
            <w:tcBorders>
              <w:top w:val="nil"/>
              <w:left w:val="nil"/>
              <w:bottom w:val="single" w:sz="8" w:space="0" w:color="auto"/>
              <w:right w:val="nil"/>
            </w:tcBorders>
            <w:shd w:val="clear" w:color="000000" w:fill="FFFFFF"/>
            <w:vAlign w:val="center"/>
            <w:hideMark/>
          </w:tcPr>
          <w:p w14:paraId="3DD67A87"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6827572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-0.3%</w:t>
            </w:r>
          </w:p>
        </w:tc>
        <w:tc>
          <w:tcPr>
            <w:tcW w:w="511" w:type="pct"/>
            <w:tcBorders>
              <w:top w:val="nil"/>
              <w:left w:val="nil"/>
              <w:bottom w:val="single" w:sz="8" w:space="0" w:color="auto"/>
              <w:right w:val="nil"/>
            </w:tcBorders>
            <w:shd w:val="clear" w:color="000000" w:fill="FFFFFF"/>
            <w:vAlign w:val="center"/>
            <w:hideMark/>
          </w:tcPr>
          <w:p w14:paraId="484718E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1778.1</w:t>
            </w:r>
          </w:p>
        </w:tc>
        <w:tc>
          <w:tcPr>
            <w:tcW w:w="177" w:type="pct"/>
            <w:tcBorders>
              <w:top w:val="nil"/>
              <w:left w:val="nil"/>
              <w:bottom w:val="single" w:sz="8" w:space="0" w:color="auto"/>
              <w:right w:val="nil"/>
            </w:tcBorders>
            <w:shd w:val="clear" w:color="000000" w:fill="FFFFFF"/>
            <w:vAlign w:val="center"/>
            <w:hideMark/>
          </w:tcPr>
          <w:p w14:paraId="6A945147"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56FF036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2.5%</w:t>
            </w:r>
          </w:p>
        </w:tc>
        <w:tc>
          <w:tcPr>
            <w:tcW w:w="419" w:type="pct"/>
            <w:tcBorders>
              <w:top w:val="nil"/>
              <w:left w:val="nil"/>
              <w:bottom w:val="single" w:sz="8" w:space="0" w:color="auto"/>
              <w:right w:val="single" w:sz="8" w:space="0" w:color="auto"/>
            </w:tcBorders>
            <w:shd w:val="clear" w:color="000000" w:fill="FFFFFF"/>
            <w:vAlign w:val="center"/>
            <w:hideMark/>
          </w:tcPr>
          <w:p w14:paraId="10338FB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-34.2%</w:t>
            </w:r>
          </w:p>
        </w:tc>
        <w:tc>
          <w:tcPr>
            <w:tcW w:w="445" w:type="pct"/>
            <w:tcBorders>
              <w:top w:val="nil"/>
              <w:left w:val="nil"/>
              <w:bottom w:val="single" w:sz="8" w:space="0" w:color="auto"/>
              <w:right w:val="single" w:sz="8" w:space="0" w:color="auto"/>
            </w:tcBorders>
            <w:shd w:val="clear" w:color="000000" w:fill="FFFFFF"/>
            <w:vAlign w:val="center"/>
            <w:hideMark/>
          </w:tcPr>
          <w:p w14:paraId="251D49E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293.8%</w:t>
            </w:r>
          </w:p>
        </w:tc>
      </w:tr>
      <w:tr w:rsidR="005D6D9C" w:rsidRPr="00757989" w14:paraId="006A72F9"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1E0F821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Production Temperature</w:t>
            </w:r>
          </w:p>
        </w:tc>
        <w:tc>
          <w:tcPr>
            <w:tcW w:w="421" w:type="pct"/>
            <w:tcBorders>
              <w:top w:val="nil"/>
              <w:left w:val="nil"/>
              <w:bottom w:val="single" w:sz="8" w:space="0" w:color="auto"/>
              <w:right w:val="single" w:sz="8" w:space="0" w:color="auto"/>
            </w:tcBorders>
            <w:shd w:val="clear" w:color="000000" w:fill="FFFFFF"/>
            <w:vAlign w:val="center"/>
            <w:hideMark/>
          </w:tcPr>
          <w:p w14:paraId="53FEA72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C</w:t>
            </w:r>
          </w:p>
        </w:tc>
        <w:tc>
          <w:tcPr>
            <w:tcW w:w="410" w:type="pct"/>
            <w:tcBorders>
              <w:top w:val="nil"/>
              <w:left w:val="nil"/>
              <w:bottom w:val="single" w:sz="8" w:space="0" w:color="auto"/>
              <w:right w:val="single" w:sz="8" w:space="0" w:color="auto"/>
            </w:tcBorders>
            <w:shd w:val="clear" w:color="000000" w:fill="FFFFFF"/>
            <w:vAlign w:val="center"/>
            <w:hideMark/>
          </w:tcPr>
          <w:p w14:paraId="6B5FC4E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168.9</w:t>
            </w:r>
          </w:p>
        </w:tc>
        <w:tc>
          <w:tcPr>
            <w:tcW w:w="460" w:type="pct"/>
            <w:tcBorders>
              <w:top w:val="nil"/>
              <w:left w:val="nil"/>
              <w:bottom w:val="single" w:sz="8" w:space="0" w:color="auto"/>
              <w:right w:val="nil"/>
            </w:tcBorders>
            <w:shd w:val="clear" w:color="000000" w:fill="FFFFFF"/>
            <w:vAlign w:val="center"/>
            <w:hideMark/>
          </w:tcPr>
          <w:p w14:paraId="5412D40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179.0</w:t>
            </w:r>
          </w:p>
        </w:tc>
        <w:tc>
          <w:tcPr>
            <w:tcW w:w="147" w:type="pct"/>
            <w:tcBorders>
              <w:top w:val="nil"/>
              <w:left w:val="nil"/>
              <w:bottom w:val="single" w:sz="8" w:space="0" w:color="auto"/>
              <w:right w:val="nil"/>
            </w:tcBorders>
            <w:shd w:val="clear" w:color="000000" w:fill="FFFFFF"/>
            <w:vAlign w:val="center"/>
            <w:hideMark/>
          </w:tcPr>
          <w:p w14:paraId="715CC3DE"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0ED305C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6.0%</w:t>
            </w:r>
          </w:p>
        </w:tc>
        <w:tc>
          <w:tcPr>
            <w:tcW w:w="511" w:type="pct"/>
            <w:tcBorders>
              <w:top w:val="nil"/>
              <w:left w:val="nil"/>
              <w:bottom w:val="single" w:sz="8" w:space="0" w:color="auto"/>
              <w:right w:val="nil"/>
            </w:tcBorders>
            <w:shd w:val="clear" w:color="000000" w:fill="FFFFFF"/>
            <w:vAlign w:val="center"/>
            <w:hideMark/>
          </w:tcPr>
          <w:p w14:paraId="5090520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179.3</w:t>
            </w:r>
          </w:p>
        </w:tc>
        <w:tc>
          <w:tcPr>
            <w:tcW w:w="177" w:type="pct"/>
            <w:tcBorders>
              <w:top w:val="nil"/>
              <w:left w:val="nil"/>
              <w:bottom w:val="single" w:sz="8" w:space="0" w:color="auto"/>
              <w:right w:val="nil"/>
            </w:tcBorders>
            <w:shd w:val="clear" w:color="000000" w:fill="FFFFFF"/>
            <w:vAlign w:val="center"/>
            <w:hideMark/>
          </w:tcPr>
          <w:p w14:paraId="4BA7574B"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6DCCAB0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0.7%</w:t>
            </w:r>
          </w:p>
        </w:tc>
        <w:tc>
          <w:tcPr>
            <w:tcW w:w="419" w:type="pct"/>
            <w:tcBorders>
              <w:top w:val="nil"/>
              <w:left w:val="nil"/>
              <w:bottom w:val="single" w:sz="8" w:space="0" w:color="auto"/>
              <w:right w:val="single" w:sz="8" w:space="0" w:color="auto"/>
            </w:tcBorders>
            <w:shd w:val="clear" w:color="000000" w:fill="FFFFFF"/>
            <w:vAlign w:val="center"/>
            <w:hideMark/>
          </w:tcPr>
          <w:p w14:paraId="5FCA93D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-0.8%</w:t>
            </w:r>
          </w:p>
        </w:tc>
        <w:tc>
          <w:tcPr>
            <w:tcW w:w="445" w:type="pct"/>
            <w:tcBorders>
              <w:top w:val="nil"/>
              <w:left w:val="nil"/>
              <w:bottom w:val="single" w:sz="8" w:space="0" w:color="auto"/>
              <w:right w:val="single" w:sz="8" w:space="0" w:color="auto"/>
            </w:tcBorders>
            <w:shd w:val="clear" w:color="000000" w:fill="FFFFFF"/>
            <w:vAlign w:val="center"/>
            <w:hideMark/>
          </w:tcPr>
          <w:p w14:paraId="7995BC6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0.7%</w:t>
            </w:r>
          </w:p>
        </w:tc>
      </w:tr>
      <w:tr w:rsidR="005D6D9C" w:rsidRPr="00757989" w14:paraId="0830027C"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0EC9782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Production Rate</w:t>
            </w:r>
          </w:p>
        </w:tc>
        <w:tc>
          <w:tcPr>
            <w:tcW w:w="421" w:type="pct"/>
            <w:tcBorders>
              <w:top w:val="nil"/>
              <w:left w:val="nil"/>
              <w:bottom w:val="single" w:sz="8" w:space="0" w:color="auto"/>
              <w:right w:val="single" w:sz="8" w:space="0" w:color="auto"/>
            </w:tcBorders>
            <w:shd w:val="clear" w:color="000000" w:fill="FFFFFF"/>
            <w:vAlign w:val="center"/>
            <w:hideMark/>
          </w:tcPr>
          <w:p w14:paraId="621229E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proofErr w:type="spellStart"/>
            <w:r w:rsidRPr="00757989">
              <w:rPr>
                <w:rFonts w:eastAsia="Times New Roman" w:cs="Times New Roman"/>
                <w:color w:val="000000"/>
                <w:kern w:val="0"/>
                <w:sz w:val="16"/>
                <w:szCs w:val="16"/>
                <w14:ligatures w14:val="none"/>
              </w:rPr>
              <w:t>gpm</w:t>
            </w:r>
            <w:proofErr w:type="spellEnd"/>
          </w:p>
        </w:tc>
        <w:tc>
          <w:tcPr>
            <w:tcW w:w="410" w:type="pct"/>
            <w:tcBorders>
              <w:top w:val="nil"/>
              <w:left w:val="nil"/>
              <w:bottom w:val="single" w:sz="8" w:space="0" w:color="auto"/>
              <w:right w:val="single" w:sz="8" w:space="0" w:color="auto"/>
            </w:tcBorders>
            <w:shd w:val="clear" w:color="000000" w:fill="FFFFFF"/>
            <w:vAlign w:val="center"/>
            <w:hideMark/>
          </w:tcPr>
          <w:p w14:paraId="6DDE9D2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670.0</w:t>
            </w:r>
          </w:p>
        </w:tc>
        <w:tc>
          <w:tcPr>
            <w:tcW w:w="460" w:type="pct"/>
            <w:tcBorders>
              <w:top w:val="nil"/>
              <w:left w:val="nil"/>
              <w:bottom w:val="single" w:sz="8" w:space="0" w:color="auto"/>
              <w:right w:val="nil"/>
            </w:tcBorders>
            <w:shd w:val="clear" w:color="000000" w:fill="FFFFFF"/>
            <w:vAlign w:val="center"/>
            <w:hideMark/>
          </w:tcPr>
          <w:p w14:paraId="103FF10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670.5</w:t>
            </w:r>
          </w:p>
        </w:tc>
        <w:tc>
          <w:tcPr>
            <w:tcW w:w="147" w:type="pct"/>
            <w:tcBorders>
              <w:top w:val="nil"/>
              <w:left w:val="nil"/>
              <w:bottom w:val="single" w:sz="8" w:space="0" w:color="auto"/>
              <w:right w:val="nil"/>
            </w:tcBorders>
            <w:shd w:val="clear" w:color="000000" w:fill="FFFFFF"/>
            <w:vAlign w:val="center"/>
            <w:hideMark/>
          </w:tcPr>
          <w:p w14:paraId="000E902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49BD169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0.1%</w:t>
            </w:r>
          </w:p>
        </w:tc>
        <w:tc>
          <w:tcPr>
            <w:tcW w:w="511" w:type="pct"/>
            <w:tcBorders>
              <w:top w:val="nil"/>
              <w:left w:val="nil"/>
              <w:bottom w:val="single" w:sz="8" w:space="0" w:color="auto"/>
              <w:right w:val="nil"/>
            </w:tcBorders>
            <w:shd w:val="clear" w:color="000000" w:fill="FFFFFF"/>
            <w:vAlign w:val="center"/>
            <w:hideMark/>
          </w:tcPr>
          <w:p w14:paraId="761954D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670.6</w:t>
            </w:r>
          </w:p>
        </w:tc>
        <w:tc>
          <w:tcPr>
            <w:tcW w:w="177" w:type="pct"/>
            <w:tcBorders>
              <w:top w:val="nil"/>
              <w:left w:val="nil"/>
              <w:bottom w:val="single" w:sz="8" w:space="0" w:color="auto"/>
              <w:right w:val="nil"/>
            </w:tcBorders>
            <w:shd w:val="clear" w:color="000000" w:fill="FFFFFF"/>
            <w:vAlign w:val="center"/>
            <w:hideMark/>
          </w:tcPr>
          <w:p w14:paraId="44D86803"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3D1B2603"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1.2%</w:t>
            </w:r>
          </w:p>
        </w:tc>
        <w:tc>
          <w:tcPr>
            <w:tcW w:w="419" w:type="pct"/>
            <w:tcBorders>
              <w:top w:val="nil"/>
              <w:left w:val="nil"/>
              <w:bottom w:val="single" w:sz="8" w:space="0" w:color="auto"/>
              <w:right w:val="single" w:sz="8" w:space="0" w:color="auto"/>
            </w:tcBorders>
            <w:shd w:val="clear" w:color="000000" w:fill="FFFFFF"/>
            <w:vAlign w:val="center"/>
            <w:hideMark/>
          </w:tcPr>
          <w:p w14:paraId="558E22A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-1.3%</w:t>
            </w:r>
          </w:p>
        </w:tc>
        <w:tc>
          <w:tcPr>
            <w:tcW w:w="445" w:type="pct"/>
            <w:tcBorders>
              <w:top w:val="nil"/>
              <w:left w:val="nil"/>
              <w:bottom w:val="single" w:sz="8" w:space="0" w:color="auto"/>
              <w:right w:val="single" w:sz="8" w:space="0" w:color="auto"/>
            </w:tcBorders>
            <w:shd w:val="clear" w:color="000000" w:fill="FFFFFF"/>
            <w:vAlign w:val="center"/>
            <w:hideMark/>
          </w:tcPr>
          <w:p w14:paraId="48D400D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1.5%</w:t>
            </w:r>
          </w:p>
        </w:tc>
      </w:tr>
      <w:tr w:rsidR="00757989" w:rsidRPr="00757989" w14:paraId="75A4B402" w14:textId="77777777" w:rsidTr="00757989">
        <w:trPr>
          <w:trHeight w:val="46"/>
        </w:trPr>
        <w:tc>
          <w:tcPr>
            <w:tcW w:w="5000" w:type="pct"/>
            <w:gridSpan w:val="11"/>
            <w:tcBorders>
              <w:top w:val="single" w:sz="8" w:space="0" w:color="auto"/>
              <w:left w:val="single" w:sz="8" w:space="0" w:color="auto"/>
              <w:bottom w:val="single" w:sz="8" w:space="0" w:color="auto"/>
              <w:right w:val="single" w:sz="8" w:space="0" w:color="000000"/>
            </w:tcBorders>
            <w:shd w:val="clear" w:color="000000" w:fill="FAE2D5"/>
            <w:vAlign w:val="center"/>
            <w:hideMark/>
          </w:tcPr>
          <w:p w14:paraId="34DBF722" w14:textId="77777777" w:rsidR="00757989" w:rsidRPr="00757989" w:rsidRDefault="00757989" w:rsidP="00757989">
            <w:pPr>
              <w:spacing w:after="0" w:line="240" w:lineRule="auto"/>
              <w:rPr>
                <w:rFonts w:eastAsia="Times New Roman" w:cs="Times New Roman"/>
                <w:b/>
                <w:bCs/>
                <w:i/>
                <w:iCs/>
                <w:color w:val="000000"/>
                <w:kern w:val="0"/>
                <w:sz w:val="16"/>
                <w:szCs w:val="16"/>
                <w14:ligatures w14:val="none"/>
              </w:rPr>
            </w:pPr>
            <w:r w:rsidRPr="00757989">
              <w:rPr>
                <w:rFonts w:eastAsia="Times New Roman" w:cs="Times New Roman"/>
                <w:b/>
                <w:bCs/>
                <w:i/>
                <w:iCs/>
                <w:color w:val="000000"/>
                <w:kern w:val="0"/>
                <w:sz w:val="16"/>
                <w:szCs w:val="16"/>
                <w14:ligatures w14:val="none"/>
              </w:rPr>
              <w:t>Resulting Parameters</w:t>
            </w:r>
          </w:p>
        </w:tc>
      </w:tr>
      <w:tr w:rsidR="00CC645D" w:rsidRPr="00757989" w14:paraId="6B4CA7BC"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BE2D5"/>
            <w:vAlign w:val="center"/>
            <w:hideMark/>
          </w:tcPr>
          <w:p w14:paraId="4A9A96B4"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Parameter</w:t>
            </w:r>
          </w:p>
        </w:tc>
        <w:tc>
          <w:tcPr>
            <w:tcW w:w="421" w:type="pct"/>
            <w:tcBorders>
              <w:top w:val="nil"/>
              <w:left w:val="nil"/>
              <w:bottom w:val="single" w:sz="8" w:space="0" w:color="auto"/>
              <w:right w:val="single" w:sz="8" w:space="0" w:color="auto"/>
            </w:tcBorders>
            <w:shd w:val="clear" w:color="000000" w:fill="FBE2D5"/>
            <w:vAlign w:val="center"/>
            <w:hideMark/>
          </w:tcPr>
          <w:p w14:paraId="27945979"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Unit</w:t>
            </w:r>
          </w:p>
        </w:tc>
        <w:tc>
          <w:tcPr>
            <w:tcW w:w="410" w:type="pct"/>
            <w:tcBorders>
              <w:top w:val="nil"/>
              <w:left w:val="nil"/>
              <w:bottom w:val="single" w:sz="8" w:space="0" w:color="auto"/>
              <w:right w:val="single" w:sz="8" w:space="0" w:color="auto"/>
            </w:tcBorders>
            <w:shd w:val="clear" w:color="000000" w:fill="FBE2D5"/>
            <w:vAlign w:val="center"/>
            <w:hideMark/>
          </w:tcPr>
          <w:p w14:paraId="013947E2"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Target</w:t>
            </w:r>
          </w:p>
        </w:tc>
        <w:tc>
          <w:tcPr>
            <w:tcW w:w="1027" w:type="pct"/>
            <w:gridSpan w:val="3"/>
            <w:tcBorders>
              <w:top w:val="nil"/>
              <w:left w:val="nil"/>
              <w:bottom w:val="single" w:sz="8" w:space="0" w:color="auto"/>
              <w:right w:val="single" w:sz="8" w:space="0" w:color="auto"/>
            </w:tcBorders>
            <w:shd w:val="clear" w:color="000000" w:fill="FBE2D5"/>
            <w:vAlign w:val="center"/>
            <w:hideMark/>
          </w:tcPr>
          <w:p w14:paraId="4315F2F5" w14:textId="12789984"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Best</w:t>
            </w:r>
            <w:r>
              <w:rPr>
                <w:rFonts w:eastAsia="Times New Roman" w:cs="Times New Roman"/>
                <w:b/>
                <w:bCs/>
                <w:color w:val="000000"/>
                <w:kern w:val="0"/>
                <w:sz w:val="16"/>
                <w:szCs w:val="16"/>
                <w14:ligatures w14:val="none"/>
              </w:rPr>
              <w:t xml:space="preserve"> to Target</w:t>
            </w:r>
          </w:p>
        </w:tc>
        <w:tc>
          <w:tcPr>
            <w:tcW w:w="511" w:type="pct"/>
            <w:tcBorders>
              <w:top w:val="nil"/>
              <w:left w:val="nil"/>
              <w:bottom w:val="single" w:sz="8" w:space="0" w:color="auto"/>
              <w:right w:val="nil"/>
            </w:tcBorders>
            <w:shd w:val="clear" w:color="000000" w:fill="FBE2D5"/>
            <w:vAlign w:val="center"/>
            <w:hideMark/>
          </w:tcPr>
          <w:p w14:paraId="3C16787C" w14:textId="5D31800C" w:rsidR="00CC645D" w:rsidRPr="00757989" w:rsidRDefault="00CC645D" w:rsidP="00757989">
            <w:pPr>
              <w:spacing w:after="0" w:line="240" w:lineRule="auto"/>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Top</w:t>
            </w:r>
            <w:r w:rsidRPr="00757989">
              <w:rPr>
                <w:rFonts w:eastAsia="Times New Roman" w:cs="Times New Roman"/>
                <w:b/>
                <w:bCs/>
                <w:color w:val="000000"/>
                <w:kern w:val="0"/>
                <w:sz w:val="16"/>
                <w:szCs w:val="16"/>
                <w14:ligatures w14:val="none"/>
              </w:rPr>
              <w:t xml:space="preserve"> 50</w:t>
            </w:r>
          </w:p>
        </w:tc>
        <w:tc>
          <w:tcPr>
            <w:tcW w:w="177" w:type="pct"/>
            <w:tcBorders>
              <w:top w:val="nil"/>
              <w:left w:val="nil"/>
              <w:bottom w:val="single" w:sz="8" w:space="0" w:color="auto"/>
              <w:right w:val="nil"/>
            </w:tcBorders>
            <w:shd w:val="clear" w:color="000000" w:fill="FBE2D5"/>
            <w:vAlign w:val="center"/>
            <w:hideMark/>
          </w:tcPr>
          <w:p w14:paraId="4518F62D"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BE2D5"/>
            <w:vAlign w:val="center"/>
            <w:hideMark/>
          </w:tcPr>
          <w:p w14:paraId="69A900F9"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BE2D5"/>
            <w:vAlign w:val="center"/>
            <w:hideMark/>
          </w:tcPr>
          <w:p w14:paraId="13974E7D"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Min</w:t>
            </w:r>
          </w:p>
        </w:tc>
        <w:tc>
          <w:tcPr>
            <w:tcW w:w="445" w:type="pct"/>
            <w:tcBorders>
              <w:top w:val="nil"/>
              <w:left w:val="nil"/>
              <w:bottom w:val="single" w:sz="8" w:space="0" w:color="auto"/>
              <w:right w:val="single" w:sz="8" w:space="0" w:color="auto"/>
            </w:tcBorders>
            <w:shd w:val="clear" w:color="000000" w:fill="FBE2D5"/>
            <w:vAlign w:val="center"/>
            <w:hideMark/>
          </w:tcPr>
          <w:p w14:paraId="2EAAD8D1"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Max</w:t>
            </w:r>
          </w:p>
        </w:tc>
      </w:tr>
      <w:tr w:rsidR="005D6D9C" w:rsidRPr="00757989" w14:paraId="2C856DC0"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76CBC10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Fracture Conductivity</w:t>
            </w:r>
          </w:p>
        </w:tc>
        <w:tc>
          <w:tcPr>
            <w:tcW w:w="421" w:type="pct"/>
            <w:tcBorders>
              <w:top w:val="nil"/>
              <w:left w:val="nil"/>
              <w:bottom w:val="single" w:sz="8" w:space="0" w:color="auto"/>
              <w:right w:val="single" w:sz="8" w:space="0" w:color="auto"/>
            </w:tcBorders>
            <w:shd w:val="clear" w:color="000000" w:fill="FFFFFF"/>
            <w:vAlign w:val="center"/>
            <w:hideMark/>
          </w:tcPr>
          <w:p w14:paraId="01B8C20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proofErr w:type="spellStart"/>
            <w:r w:rsidRPr="00757989">
              <w:rPr>
                <w:rFonts w:eastAsia="Times New Roman" w:cs="Times New Roman"/>
                <w:color w:val="000000"/>
                <w:kern w:val="0"/>
                <w:sz w:val="16"/>
                <w:szCs w:val="16"/>
                <w14:ligatures w14:val="none"/>
              </w:rPr>
              <w:t>mDft</w:t>
            </w:r>
            <w:proofErr w:type="spellEnd"/>
          </w:p>
        </w:tc>
        <w:tc>
          <w:tcPr>
            <w:tcW w:w="410" w:type="pct"/>
            <w:tcBorders>
              <w:top w:val="nil"/>
              <w:left w:val="nil"/>
              <w:bottom w:val="single" w:sz="8" w:space="0" w:color="auto"/>
              <w:right w:val="single" w:sz="8" w:space="0" w:color="auto"/>
            </w:tcBorders>
            <w:shd w:val="clear" w:color="000000" w:fill="FFFFFF"/>
            <w:vAlign w:val="center"/>
            <w:hideMark/>
          </w:tcPr>
          <w:p w14:paraId="27F9091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350</w:t>
            </w:r>
          </w:p>
        </w:tc>
        <w:tc>
          <w:tcPr>
            <w:tcW w:w="460" w:type="pct"/>
            <w:tcBorders>
              <w:top w:val="nil"/>
              <w:left w:val="nil"/>
              <w:bottom w:val="single" w:sz="8" w:space="0" w:color="auto"/>
              <w:right w:val="nil"/>
            </w:tcBorders>
            <w:shd w:val="clear" w:color="000000" w:fill="FFFFFF"/>
            <w:vAlign w:val="center"/>
            <w:hideMark/>
          </w:tcPr>
          <w:p w14:paraId="17DFBE0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233</w:t>
            </w:r>
          </w:p>
        </w:tc>
        <w:tc>
          <w:tcPr>
            <w:tcW w:w="147" w:type="pct"/>
            <w:tcBorders>
              <w:top w:val="nil"/>
              <w:left w:val="nil"/>
              <w:bottom w:val="single" w:sz="8" w:space="0" w:color="auto"/>
              <w:right w:val="nil"/>
            </w:tcBorders>
            <w:shd w:val="clear" w:color="000000" w:fill="FFFFFF"/>
            <w:vAlign w:val="center"/>
            <w:hideMark/>
          </w:tcPr>
          <w:p w14:paraId="7D8A2C9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38DDAE7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-33.4%</w:t>
            </w:r>
          </w:p>
        </w:tc>
        <w:tc>
          <w:tcPr>
            <w:tcW w:w="511" w:type="pct"/>
            <w:tcBorders>
              <w:top w:val="nil"/>
              <w:left w:val="nil"/>
              <w:bottom w:val="single" w:sz="8" w:space="0" w:color="auto"/>
              <w:right w:val="nil"/>
            </w:tcBorders>
            <w:shd w:val="clear" w:color="000000" w:fill="FFFFFF"/>
            <w:vAlign w:val="center"/>
            <w:hideMark/>
          </w:tcPr>
          <w:p w14:paraId="2B79FC3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230</w:t>
            </w:r>
          </w:p>
        </w:tc>
        <w:tc>
          <w:tcPr>
            <w:tcW w:w="177" w:type="pct"/>
            <w:tcBorders>
              <w:top w:val="nil"/>
              <w:left w:val="nil"/>
              <w:bottom w:val="single" w:sz="8" w:space="0" w:color="auto"/>
              <w:right w:val="nil"/>
            </w:tcBorders>
            <w:shd w:val="clear" w:color="000000" w:fill="FFFFFF"/>
            <w:vAlign w:val="center"/>
            <w:hideMark/>
          </w:tcPr>
          <w:p w14:paraId="01CCC729"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28011DD4"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5.2%</w:t>
            </w:r>
          </w:p>
        </w:tc>
        <w:tc>
          <w:tcPr>
            <w:tcW w:w="419" w:type="pct"/>
            <w:tcBorders>
              <w:top w:val="nil"/>
              <w:left w:val="nil"/>
              <w:bottom w:val="single" w:sz="8" w:space="0" w:color="auto"/>
              <w:right w:val="single" w:sz="8" w:space="0" w:color="auto"/>
            </w:tcBorders>
            <w:shd w:val="clear" w:color="000000" w:fill="FFFFFF"/>
            <w:vAlign w:val="center"/>
            <w:hideMark/>
          </w:tcPr>
          <w:p w14:paraId="4DE20EC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-81.3%</w:t>
            </w:r>
          </w:p>
        </w:tc>
        <w:tc>
          <w:tcPr>
            <w:tcW w:w="445" w:type="pct"/>
            <w:tcBorders>
              <w:top w:val="nil"/>
              <w:left w:val="nil"/>
              <w:bottom w:val="single" w:sz="8" w:space="0" w:color="auto"/>
              <w:right w:val="single" w:sz="8" w:space="0" w:color="auto"/>
            </w:tcBorders>
            <w:shd w:val="clear" w:color="000000" w:fill="FFFFFF"/>
            <w:vAlign w:val="center"/>
            <w:hideMark/>
          </w:tcPr>
          <w:p w14:paraId="745CF08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72.6%</w:t>
            </w:r>
          </w:p>
        </w:tc>
      </w:tr>
      <w:tr w:rsidR="005D6D9C" w:rsidRPr="00757989" w14:paraId="358CB2C8"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15D0237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Stimulation Pressure</w:t>
            </w:r>
          </w:p>
        </w:tc>
        <w:tc>
          <w:tcPr>
            <w:tcW w:w="421" w:type="pct"/>
            <w:tcBorders>
              <w:top w:val="nil"/>
              <w:left w:val="nil"/>
              <w:bottom w:val="single" w:sz="8" w:space="0" w:color="auto"/>
              <w:right w:val="single" w:sz="8" w:space="0" w:color="auto"/>
            </w:tcBorders>
            <w:shd w:val="clear" w:color="000000" w:fill="FFFFFF"/>
            <w:vAlign w:val="center"/>
            <w:hideMark/>
          </w:tcPr>
          <w:p w14:paraId="6CED2EFF"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psi</w:t>
            </w:r>
          </w:p>
        </w:tc>
        <w:tc>
          <w:tcPr>
            <w:tcW w:w="410" w:type="pct"/>
            <w:tcBorders>
              <w:top w:val="nil"/>
              <w:left w:val="nil"/>
              <w:bottom w:val="single" w:sz="8" w:space="0" w:color="auto"/>
              <w:right w:val="single" w:sz="8" w:space="0" w:color="auto"/>
            </w:tcBorders>
            <w:shd w:val="clear" w:color="000000" w:fill="FFFFFF"/>
            <w:vAlign w:val="center"/>
            <w:hideMark/>
          </w:tcPr>
          <w:p w14:paraId="6230D143"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7485</w:t>
            </w:r>
          </w:p>
        </w:tc>
        <w:tc>
          <w:tcPr>
            <w:tcW w:w="460" w:type="pct"/>
            <w:tcBorders>
              <w:top w:val="nil"/>
              <w:left w:val="nil"/>
              <w:bottom w:val="single" w:sz="8" w:space="0" w:color="auto"/>
              <w:right w:val="nil"/>
            </w:tcBorders>
            <w:shd w:val="clear" w:color="000000" w:fill="FFFFFF"/>
            <w:vAlign w:val="center"/>
            <w:hideMark/>
          </w:tcPr>
          <w:p w14:paraId="05D8F573" w14:textId="5D7E5956"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7276.</w:t>
            </w:r>
            <w:r>
              <w:rPr>
                <w:rFonts w:eastAsia="Times New Roman" w:cs="Times New Roman"/>
                <w:color w:val="000000"/>
                <w:kern w:val="0"/>
                <w:sz w:val="16"/>
                <w:szCs w:val="16"/>
                <w14:ligatures w14:val="none"/>
              </w:rPr>
              <w:t>6</w:t>
            </w:r>
          </w:p>
        </w:tc>
        <w:tc>
          <w:tcPr>
            <w:tcW w:w="147" w:type="pct"/>
            <w:tcBorders>
              <w:top w:val="nil"/>
              <w:left w:val="nil"/>
              <w:bottom w:val="single" w:sz="8" w:space="0" w:color="auto"/>
              <w:right w:val="nil"/>
            </w:tcBorders>
            <w:shd w:val="clear" w:color="000000" w:fill="FFFFFF"/>
            <w:vAlign w:val="center"/>
            <w:hideMark/>
          </w:tcPr>
          <w:p w14:paraId="6F4CE4C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73F1F31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-22.8%</w:t>
            </w:r>
          </w:p>
        </w:tc>
        <w:tc>
          <w:tcPr>
            <w:tcW w:w="511" w:type="pct"/>
            <w:tcBorders>
              <w:top w:val="nil"/>
              <w:left w:val="nil"/>
              <w:bottom w:val="single" w:sz="8" w:space="0" w:color="auto"/>
              <w:right w:val="nil"/>
            </w:tcBorders>
            <w:shd w:val="clear" w:color="000000" w:fill="FFFFFF"/>
            <w:vAlign w:val="center"/>
            <w:hideMark/>
          </w:tcPr>
          <w:p w14:paraId="2406E3B7" w14:textId="602EF575"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7276.5</w:t>
            </w:r>
          </w:p>
        </w:tc>
        <w:tc>
          <w:tcPr>
            <w:tcW w:w="177" w:type="pct"/>
            <w:tcBorders>
              <w:top w:val="nil"/>
              <w:left w:val="nil"/>
              <w:bottom w:val="single" w:sz="8" w:space="0" w:color="auto"/>
              <w:right w:val="nil"/>
            </w:tcBorders>
            <w:shd w:val="clear" w:color="000000" w:fill="FFFFFF"/>
            <w:vAlign w:val="center"/>
            <w:hideMark/>
          </w:tcPr>
          <w:p w14:paraId="375AA5CB"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2B972D1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61A8DA9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25D69E8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31315981"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71B3614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Proppant Permeability</w:t>
            </w:r>
          </w:p>
        </w:tc>
        <w:tc>
          <w:tcPr>
            <w:tcW w:w="421" w:type="pct"/>
            <w:tcBorders>
              <w:top w:val="nil"/>
              <w:left w:val="nil"/>
              <w:bottom w:val="single" w:sz="8" w:space="0" w:color="auto"/>
              <w:right w:val="single" w:sz="8" w:space="0" w:color="auto"/>
            </w:tcBorders>
            <w:shd w:val="clear" w:color="000000" w:fill="FFFFFF"/>
            <w:vAlign w:val="center"/>
            <w:hideMark/>
          </w:tcPr>
          <w:p w14:paraId="09A874C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D</w:t>
            </w:r>
          </w:p>
        </w:tc>
        <w:tc>
          <w:tcPr>
            <w:tcW w:w="410" w:type="pct"/>
            <w:tcBorders>
              <w:top w:val="nil"/>
              <w:left w:val="nil"/>
              <w:bottom w:val="single" w:sz="8" w:space="0" w:color="auto"/>
              <w:right w:val="single" w:sz="8" w:space="0" w:color="auto"/>
            </w:tcBorders>
            <w:shd w:val="clear" w:color="000000" w:fill="FFFFFF"/>
            <w:vAlign w:val="center"/>
            <w:hideMark/>
          </w:tcPr>
          <w:p w14:paraId="1E93E95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2B6C085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106</w:t>
            </w:r>
          </w:p>
        </w:tc>
        <w:tc>
          <w:tcPr>
            <w:tcW w:w="147" w:type="pct"/>
            <w:tcBorders>
              <w:top w:val="nil"/>
              <w:left w:val="nil"/>
              <w:bottom w:val="single" w:sz="8" w:space="0" w:color="auto"/>
              <w:right w:val="nil"/>
            </w:tcBorders>
            <w:shd w:val="clear" w:color="000000" w:fill="FFFFFF"/>
            <w:vAlign w:val="center"/>
            <w:hideMark/>
          </w:tcPr>
          <w:p w14:paraId="6A89125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2790EBB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-54.3%</w:t>
            </w:r>
          </w:p>
        </w:tc>
        <w:tc>
          <w:tcPr>
            <w:tcW w:w="511" w:type="pct"/>
            <w:tcBorders>
              <w:top w:val="nil"/>
              <w:left w:val="nil"/>
              <w:bottom w:val="single" w:sz="8" w:space="0" w:color="auto"/>
              <w:right w:val="nil"/>
            </w:tcBorders>
            <w:shd w:val="clear" w:color="000000" w:fill="FFFFFF"/>
            <w:vAlign w:val="center"/>
            <w:hideMark/>
          </w:tcPr>
          <w:p w14:paraId="7DB0BFF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107</w:t>
            </w:r>
          </w:p>
        </w:tc>
        <w:tc>
          <w:tcPr>
            <w:tcW w:w="177" w:type="pct"/>
            <w:tcBorders>
              <w:top w:val="nil"/>
              <w:left w:val="nil"/>
              <w:bottom w:val="single" w:sz="8" w:space="0" w:color="auto"/>
              <w:right w:val="nil"/>
            </w:tcBorders>
            <w:shd w:val="clear" w:color="000000" w:fill="FFFFFF"/>
            <w:vAlign w:val="center"/>
            <w:hideMark/>
          </w:tcPr>
          <w:p w14:paraId="00C0A4A6"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79791FF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10.0%</w:t>
            </w:r>
          </w:p>
        </w:tc>
        <w:tc>
          <w:tcPr>
            <w:tcW w:w="419" w:type="pct"/>
            <w:tcBorders>
              <w:top w:val="nil"/>
              <w:left w:val="nil"/>
              <w:bottom w:val="single" w:sz="8" w:space="0" w:color="auto"/>
              <w:right w:val="single" w:sz="8" w:space="0" w:color="auto"/>
            </w:tcBorders>
            <w:shd w:val="clear" w:color="000000" w:fill="FFFFFF"/>
            <w:vAlign w:val="center"/>
            <w:hideMark/>
          </w:tcPr>
          <w:p w14:paraId="36CD02C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-81.1%</w:t>
            </w:r>
          </w:p>
        </w:tc>
        <w:tc>
          <w:tcPr>
            <w:tcW w:w="445" w:type="pct"/>
            <w:tcBorders>
              <w:top w:val="nil"/>
              <w:left w:val="nil"/>
              <w:bottom w:val="single" w:sz="8" w:space="0" w:color="auto"/>
              <w:right w:val="single" w:sz="8" w:space="0" w:color="auto"/>
            </w:tcBorders>
            <w:shd w:val="clear" w:color="000000" w:fill="FFFFFF"/>
            <w:vAlign w:val="center"/>
            <w:hideMark/>
          </w:tcPr>
          <w:p w14:paraId="71F077D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89.1%</w:t>
            </w:r>
          </w:p>
        </w:tc>
      </w:tr>
      <w:tr w:rsidR="005D6D9C" w:rsidRPr="00757989" w14:paraId="00AF85FE"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4D4375EA"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Proppant Compressibility</w:t>
            </w:r>
          </w:p>
        </w:tc>
        <w:tc>
          <w:tcPr>
            <w:tcW w:w="421" w:type="pct"/>
            <w:tcBorders>
              <w:top w:val="nil"/>
              <w:left w:val="nil"/>
              <w:bottom w:val="single" w:sz="8" w:space="0" w:color="auto"/>
              <w:right w:val="single" w:sz="8" w:space="0" w:color="auto"/>
            </w:tcBorders>
            <w:shd w:val="clear" w:color="000000" w:fill="FFFFFF"/>
            <w:vAlign w:val="center"/>
            <w:hideMark/>
          </w:tcPr>
          <w:p w14:paraId="300F79D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w:t>
            </w:r>
            <w:proofErr w:type="spellStart"/>
            <w:r w:rsidRPr="00757989">
              <w:rPr>
                <w:rFonts w:eastAsia="Times New Roman" w:cs="Times New Roman"/>
                <w:color w:val="000000"/>
                <w:kern w:val="0"/>
                <w:sz w:val="16"/>
                <w:szCs w:val="16"/>
                <w14:ligatures w14:val="none"/>
              </w:rPr>
              <w:t>GPa</w:t>
            </w:r>
            <w:proofErr w:type="spellEnd"/>
          </w:p>
        </w:tc>
        <w:tc>
          <w:tcPr>
            <w:tcW w:w="410" w:type="pct"/>
            <w:tcBorders>
              <w:top w:val="nil"/>
              <w:left w:val="nil"/>
              <w:bottom w:val="single" w:sz="8" w:space="0" w:color="auto"/>
              <w:right w:val="single" w:sz="8" w:space="0" w:color="auto"/>
            </w:tcBorders>
            <w:shd w:val="clear" w:color="000000" w:fill="FFFFFF"/>
            <w:vAlign w:val="center"/>
            <w:hideMark/>
          </w:tcPr>
          <w:p w14:paraId="5CC2BD5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35E5C8CF" w14:textId="58351066"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49.52</w:t>
            </w:r>
          </w:p>
        </w:tc>
        <w:tc>
          <w:tcPr>
            <w:tcW w:w="147" w:type="pct"/>
            <w:tcBorders>
              <w:top w:val="nil"/>
              <w:left w:val="nil"/>
              <w:bottom w:val="single" w:sz="8" w:space="0" w:color="auto"/>
              <w:right w:val="nil"/>
            </w:tcBorders>
            <w:shd w:val="clear" w:color="000000" w:fill="FFFFFF"/>
            <w:vAlign w:val="center"/>
            <w:hideMark/>
          </w:tcPr>
          <w:p w14:paraId="4B5574C1"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286CFBD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78070867" w14:textId="5CDCB6EE"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44.38</w:t>
            </w:r>
          </w:p>
        </w:tc>
        <w:tc>
          <w:tcPr>
            <w:tcW w:w="177" w:type="pct"/>
            <w:tcBorders>
              <w:top w:val="nil"/>
              <w:left w:val="nil"/>
              <w:bottom w:val="single" w:sz="8" w:space="0" w:color="auto"/>
              <w:right w:val="nil"/>
            </w:tcBorders>
            <w:shd w:val="clear" w:color="000000" w:fill="FFFFFF"/>
            <w:vAlign w:val="center"/>
            <w:hideMark/>
          </w:tcPr>
          <w:p w14:paraId="40DA3D52"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0F6F4DD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13.1%</w:t>
            </w:r>
          </w:p>
        </w:tc>
        <w:tc>
          <w:tcPr>
            <w:tcW w:w="419" w:type="pct"/>
            <w:tcBorders>
              <w:top w:val="nil"/>
              <w:left w:val="nil"/>
              <w:bottom w:val="single" w:sz="8" w:space="0" w:color="auto"/>
              <w:right w:val="single" w:sz="8" w:space="0" w:color="auto"/>
            </w:tcBorders>
            <w:shd w:val="clear" w:color="000000" w:fill="FFFFFF"/>
            <w:vAlign w:val="center"/>
            <w:hideMark/>
          </w:tcPr>
          <w:p w14:paraId="3C098C1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-9.9%</w:t>
            </w:r>
          </w:p>
        </w:tc>
        <w:tc>
          <w:tcPr>
            <w:tcW w:w="445" w:type="pct"/>
            <w:tcBorders>
              <w:top w:val="nil"/>
              <w:left w:val="nil"/>
              <w:bottom w:val="single" w:sz="8" w:space="0" w:color="auto"/>
              <w:right w:val="single" w:sz="8" w:space="0" w:color="auto"/>
            </w:tcBorders>
            <w:shd w:val="clear" w:color="000000" w:fill="FFFFFF"/>
            <w:vAlign w:val="center"/>
            <w:hideMark/>
          </w:tcPr>
          <w:p w14:paraId="5550328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12.6%</w:t>
            </w:r>
          </w:p>
        </w:tc>
      </w:tr>
      <w:tr w:rsidR="00757989" w:rsidRPr="00757989" w14:paraId="607E508F" w14:textId="77777777" w:rsidTr="00757989">
        <w:trPr>
          <w:trHeight w:val="46"/>
        </w:trPr>
        <w:tc>
          <w:tcPr>
            <w:tcW w:w="5000" w:type="pct"/>
            <w:gridSpan w:val="11"/>
            <w:tcBorders>
              <w:top w:val="single" w:sz="8" w:space="0" w:color="auto"/>
              <w:left w:val="single" w:sz="8" w:space="0" w:color="auto"/>
              <w:bottom w:val="single" w:sz="8" w:space="0" w:color="auto"/>
              <w:right w:val="single" w:sz="8" w:space="0" w:color="000000"/>
            </w:tcBorders>
            <w:shd w:val="clear" w:color="000000" w:fill="DAF2D0"/>
            <w:vAlign w:val="center"/>
            <w:hideMark/>
          </w:tcPr>
          <w:p w14:paraId="68B41B0A" w14:textId="77777777" w:rsidR="00757989" w:rsidRPr="00757989" w:rsidRDefault="00757989" w:rsidP="00757989">
            <w:pPr>
              <w:spacing w:after="0" w:line="240" w:lineRule="auto"/>
              <w:rPr>
                <w:rFonts w:eastAsia="Times New Roman" w:cs="Times New Roman"/>
                <w:b/>
                <w:bCs/>
                <w:i/>
                <w:iCs/>
                <w:color w:val="000000"/>
                <w:kern w:val="0"/>
                <w:sz w:val="16"/>
                <w:szCs w:val="16"/>
                <w14:ligatures w14:val="none"/>
              </w:rPr>
            </w:pPr>
            <w:r w:rsidRPr="00757989">
              <w:rPr>
                <w:rFonts w:eastAsia="Times New Roman" w:cs="Times New Roman"/>
                <w:b/>
                <w:bCs/>
                <w:i/>
                <w:iCs/>
                <w:color w:val="000000"/>
                <w:kern w:val="0"/>
                <w:sz w:val="16"/>
                <w:szCs w:val="16"/>
                <w14:ligatures w14:val="none"/>
              </w:rPr>
              <w:t>Economic Metrics</w:t>
            </w:r>
          </w:p>
        </w:tc>
      </w:tr>
      <w:tr w:rsidR="00CC645D" w:rsidRPr="00757989" w14:paraId="57F38360"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DAF2D0"/>
            <w:vAlign w:val="center"/>
            <w:hideMark/>
          </w:tcPr>
          <w:p w14:paraId="68E561E7"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Parameter</w:t>
            </w:r>
          </w:p>
        </w:tc>
        <w:tc>
          <w:tcPr>
            <w:tcW w:w="421" w:type="pct"/>
            <w:tcBorders>
              <w:top w:val="nil"/>
              <w:left w:val="nil"/>
              <w:bottom w:val="single" w:sz="8" w:space="0" w:color="auto"/>
              <w:right w:val="single" w:sz="8" w:space="0" w:color="auto"/>
            </w:tcBorders>
            <w:shd w:val="clear" w:color="000000" w:fill="DAF2D0"/>
            <w:vAlign w:val="center"/>
            <w:hideMark/>
          </w:tcPr>
          <w:p w14:paraId="42E9C099"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Unit</w:t>
            </w:r>
          </w:p>
        </w:tc>
        <w:tc>
          <w:tcPr>
            <w:tcW w:w="410" w:type="pct"/>
            <w:tcBorders>
              <w:top w:val="nil"/>
              <w:left w:val="nil"/>
              <w:bottom w:val="single" w:sz="8" w:space="0" w:color="auto"/>
              <w:right w:val="single" w:sz="8" w:space="0" w:color="auto"/>
            </w:tcBorders>
            <w:shd w:val="clear" w:color="000000" w:fill="DAF2D0"/>
            <w:vAlign w:val="center"/>
            <w:hideMark/>
          </w:tcPr>
          <w:p w14:paraId="1C8E73B8"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Target</w:t>
            </w:r>
          </w:p>
        </w:tc>
        <w:tc>
          <w:tcPr>
            <w:tcW w:w="1027" w:type="pct"/>
            <w:gridSpan w:val="3"/>
            <w:tcBorders>
              <w:top w:val="nil"/>
              <w:left w:val="nil"/>
              <w:bottom w:val="single" w:sz="8" w:space="0" w:color="auto"/>
              <w:right w:val="single" w:sz="8" w:space="0" w:color="auto"/>
            </w:tcBorders>
            <w:shd w:val="clear" w:color="000000" w:fill="DAF2D0"/>
            <w:vAlign w:val="center"/>
            <w:hideMark/>
          </w:tcPr>
          <w:p w14:paraId="095FDB63" w14:textId="7986357B"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Best</w:t>
            </w:r>
            <w:r>
              <w:rPr>
                <w:rFonts w:eastAsia="Times New Roman" w:cs="Times New Roman"/>
                <w:b/>
                <w:bCs/>
                <w:color w:val="000000"/>
                <w:kern w:val="0"/>
                <w:sz w:val="16"/>
                <w:szCs w:val="16"/>
                <w14:ligatures w14:val="none"/>
              </w:rPr>
              <w:t xml:space="preserve"> to Target</w:t>
            </w:r>
          </w:p>
        </w:tc>
        <w:tc>
          <w:tcPr>
            <w:tcW w:w="511" w:type="pct"/>
            <w:tcBorders>
              <w:top w:val="nil"/>
              <w:left w:val="nil"/>
              <w:bottom w:val="single" w:sz="8" w:space="0" w:color="auto"/>
              <w:right w:val="nil"/>
            </w:tcBorders>
            <w:shd w:val="clear" w:color="000000" w:fill="DAF2D0"/>
            <w:vAlign w:val="center"/>
            <w:hideMark/>
          </w:tcPr>
          <w:p w14:paraId="3D700FD3" w14:textId="14DE50FA" w:rsidR="00CC645D" w:rsidRPr="00757989" w:rsidRDefault="00CC645D" w:rsidP="00757989">
            <w:pPr>
              <w:spacing w:after="0" w:line="240" w:lineRule="auto"/>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Top</w:t>
            </w:r>
            <w:r w:rsidRPr="00757989">
              <w:rPr>
                <w:rFonts w:eastAsia="Times New Roman" w:cs="Times New Roman"/>
                <w:b/>
                <w:bCs/>
                <w:color w:val="000000"/>
                <w:kern w:val="0"/>
                <w:sz w:val="16"/>
                <w:szCs w:val="16"/>
                <w14:ligatures w14:val="none"/>
              </w:rPr>
              <w:t xml:space="preserve"> 50</w:t>
            </w:r>
          </w:p>
        </w:tc>
        <w:tc>
          <w:tcPr>
            <w:tcW w:w="177" w:type="pct"/>
            <w:tcBorders>
              <w:top w:val="nil"/>
              <w:left w:val="nil"/>
              <w:bottom w:val="single" w:sz="8" w:space="0" w:color="auto"/>
              <w:right w:val="nil"/>
            </w:tcBorders>
            <w:shd w:val="clear" w:color="000000" w:fill="DAF2D0"/>
            <w:vAlign w:val="center"/>
            <w:hideMark/>
          </w:tcPr>
          <w:p w14:paraId="0F1BE799"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DAF2D0"/>
            <w:vAlign w:val="center"/>
            <w:hideMark/>
          </w:tcPr>
          <w:p w14:paraId="3C90992C"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DAF2D0"/>
            <w:vAlign w:val="center"/>
            <w:hideMark/>
          </w:tcPr>
          <w:p w14:paraId="1250F67E"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Min</w:t>
            </w:r>
          </w:p>
        </w:tc>
        <w:tc>
          <w:tcPr>
            <w:tcW w:w="445" w:type="pct"/>
            <w:tcBorders>
              <w:top w:val="nil"/>
              <w:left w:val="nil"/>
              <w:bottom w:val="single" w:sz="8" w:space="0" w:color="auto"/>
              <w:right w:val="single" w:sz="8" w:space="0" w:color="auto"/>
            </w:tcBorders>
            <w:shd w:val="clear" w:color="000000" w:fill="DAF2D0"/>
            <w:vAlign w:val="center"/>
            <w:hideMark/>
          </w:tcPr>
          <w:p w14:paraId="470CFA84" w14:textId="77777777" w:rsidR="00CC645D" w:rsidRPr="00757989" w:rsidRDefault="00CC645D" w:rsidP="00757989">
            <w:pPr>
              <w:spacing w:after="0" w:line="240" w:lineRule="auto"/>
              <w:rPr>
                <w:rFonts w:eastAsia="Times New Roman" w:cs="Times New Roman"/>
                <w:b/>
                <w:bCs/>
                <w:color w:val="000000"/>
                <w:kern w:val="0"/>
                <w:sz w:val="16"/>
                <w:szCs w:val="16"/>
                <w14:ligatures w14:val="none"/>
              </w:rPr>
            </w:pPr>
            <w:r w:rsidRPr="00757989">
              <w:rPr>
                <w:rFonts w:eastAsia="Times New Roman" w:cs="Times New Roman"/>
                <w:b/>
                <w:bCs/>
                <w:color w:val="000000"/>
                <w:kern w:val="0"/>
                <w:sz w:val="16"/>
                <w:szCs w:val="16"/>
                <w14:ligatures w14:val="none"/>
              </w:rPr>
              <w:t>Max</w:t>
            </w:r>
          </w:p>
        </w:tc>
      </w:tr>
      <w:tr w:rsidR="005D6D9C" w:rsidRPr="00757989" w14:paraId="3E9DC120"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3403E98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Drilling Time</w:t>
            </w:r>
          </w:p>
        </w:tc>
        <w:tc>
          <w:tcPr>
            <w:tcW w:w="421" w:type="pct"/>
            <w:tcBorders>
              <w:top w:val="nil"/>
              <w:left w:val="nil"/>
              <w:bottom w:val="single" w:sz="8" w:space="0" w:color="auto"/>
              <w:right w:val="single" w:sz="8" w:space="0" w:color="auto"/>
            </w:tcBorders>
            <w:shd w:val="clear" w:color="000000" w:fill="FFFFFF"/>
            <w:vAlign w:val="center"/>
            <w:hideMark/>
          </w:tcPr>
          <w:p w14:paraId="15225F8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day</w:t>
            </w:r>
          </w:p>
        </w:tc>
        <w:tc>
          <w:tcPr>
            <w:tcW w:w="410" w:type="pct"/>
            <w:tcBorders>
              <w:top w:val="nil"/>
              <w:left w:val="nil"/>
              <w:bottom w:val="single" w:sz="8" w:space="0" w:color="auto"/>
              <w:right w:val="single" w:sz="8" w:space="0" w:color="auto"/>
            </w:tcBorders>
            <w:shd w:val="clear" w:color="000000" w:fill="FFFFFF"/>
            <w:vAlign w:val="center"/>
            <w:hideMark/>
          </w:tcPr>
          <w:p w14:paraId="62B740B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131</w:t>
            </w:r>
          </w:p>
        </w:tc>
        <w:tc>
          <w:tcPr>
            <w:tcW w:w="460" w:type="pct"/>
            <w:tcBorders>
              <w:top w:val="nil"/>
              <w:left w:val="nil"/>
              <w:bottom w:val="single" w:sz="8" w:space="0" w:color="auto"/>
              <w:right w:val="nil"/>
            </w:tcBorders>
            <w:shd w:val="clear" w:color="000000" w:fill="FFFFFF"/>
            <w:vAlign w:val="center"/>
            <w:hideMark/>
          </w:tcPr>
          <w:p w14:paraId="2B3B812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27</w:t>
            </w:r>
          </w:p>
        </w:tc>
        <w:tc>
          <w:tcPr>
            <w:tcW w:w="147" w:type="pct"/>
            <w:tcBorders>
              <w:top w:val="nil"/>
              <w:left w:val="nil"/>
              <w:bottom w:val="single" w:sz="8" w:space="0" w:color="auto"/>
              <w:right w:val="nil"/>
            </w:tcBorders>
            <w:shd w:val="clear" w:color="000000" w:fill="FFFFFF"/>
            <w:vAlign w:val="center"/>
            <w:hideMark/>
          </w:tcPr>
          <w:p w14:paraId="24D7987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7E01673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-79.6%</w:t>
            </w:r>
          </w:p>
        </w:tc>
        <w:tc>
          <w:tcPr>
            <w:tcW w:w="511" w:type="pct"/>
            <w:tcBorders>
              <w:top w:val="nil"/>
              <w:left w:val="nil"/>
              <w:bottom w:val="single" w:sz="8" w:space="0" w:color="auto"/>
              <w:right w:val="nil"/>
            </w:tcBorders>
            <w:shd w:val="clear" w:color="000000" w:fill="FFFFFF"/>
            <w:vAlign w:val="center"/>
            <w:hideMark/>
          </w:tcPr>
          <w:p w14:paraId="16E0D21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27</w:t>
            </w:r>
          </w:p>
        </w:tc>
        <w:tc>
          <w:tcPr>
            <w:tcW w:w="177" w:type="pct"/>
            <w:tcBorders>
              <w:top w:val="nil"/>
              <w:left w:val="nil"/>
              <w:bottom w:val="single" w:sz="8" w:space="0" w:color="auto"/>
              <w:right w:val="nil"/>
            </w:tcBorders>
            <w:shd w:val="clear" w:color="000000" w:fill="FFFFFF"/>
            <w:vAlign w:val="center"/>
            <w:hideMark/>
          </w:tcPr>
          <w:p w14:paraId="49E7950A"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544D89A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3DA7CB6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693202A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62BE4606"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4506C264"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Drilling Cost</w:t>
            </w:r>
          </w:p>
        </w:tc>
        <w:tc>
          <w:tcPr>
            <w:tcW w:w="421" w:type="pct"/>
            <w:tcBorders>
              <w:top w:val="nil"/>
              <w:left w:val="nil"/>
              <w:bottom w:val="single" w:sz="8" w:space="0" w:color="auto"/>
              <w:right w:val="single" w:sz="8" w:space="0" w:color="auto"/>
            </w:tcBorders>
            <w:shd w:val="clear" w:color="000000" w:fill="FFFFFF"/>
            <w:vAlign w:val="center"/>
            <w:hideMark/>
          </w:tcPr>
          <w:p w14:paraId="2F5C410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0137AD6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5004AFB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-4.826</w:t>
            </w:r>
          </w:p>
        </w:tc>
        <w:tc>
          <w:tcPr>
            <w:tcW w:w="147" w:type="pct"/>
            <w:tcBorders>
              <w:top w:val="nil"/>
              <w:left w:val="nil"/>
              <w:bottom w:val="single" w:sz="8" w:space="0" w:color="auto"/>
              <w:right w:val="nil"/>
            </w:tcBorders>
            <w:shd w:val="clear" w:color="000000" w:fill="FFFFFF"/>
            <w:vAlign w:val="center"/>
            <w:hideMark/>
          </w:tcPr>
          <w:p w14:paraId="5ED61B7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56E929B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49F2C1E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-4.826</w:t>
            </w:r>
          </w:p>
        </w:tc>
        <w:tc>
          <w:tcPr>
            <w:tcW w:w="177" w:type="pct"/>
            <w:tcBorders>
              <w:top w:val="nil"/>
              <w:left w:val="nil"/>
              <w:bottom w:val="single" w:sz="8" w:space="0" w:color="auto"/>
              <w:right w:val="nil"/>
            </w:tcBorders>
            <w:shd w:val="clear" w:color="000000" w:fill="FFFFFF"/>
            <w:vAlign w:val="center"/>
            <w:hideMark/>
          </w:tcPr>
          <w:p w14:paraId="01067685"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6FFD827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19" w:type="pct"/>
            <w:tcBorders>
              <w:top w:val="nil"/>
              <w:left w:val="nil"/>
              <w:bottom w:val="single" w:sz="8" w:space="0" w:color="auto"/>
              <w:right w:val="single" w:sz="8" w:space="0" w:color="auto"/>
            </w:tcBorders>
            <w:shd w:val="clear" w:color="000000" w:fill="FFFFFF"/>
            <w:vAlign w:val="center"/>
            <w:hideMark/>
          </w:tcPr>
          <w:p w14:paraId="6B83DBC3"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445" w:type="pct"/>
            <w:tcBorders>
              <w:top w:val="nil"/>
              <w:left w:val="nil"/>
              <w:bottom w:val="single" w:sz="8" w:space="0" w:color="auto"/>
              <w:right w:val="single" w:sz="8" w:space="0" w:color="auto"/>
            </w:tcBorders>
            <w:shd w:val="clear" w:color="000000" w:fill="FFFFFF"/>
            <w:vAlign w:val="center"/>
            <w:hideMark/>
          </w:tcPr>
          <w:p w14:paraId="3C92B1D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r>
      <w:tr w:rsidR="005D6D9C" w:rsidRPr="00757989" w14:paraId="25A6376D"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38912CBF"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Stimulation Cost</w:t>
            </w:r>
          </w:p>
        </w:tc>
        <w:tc>
          <w:tcPr>
            <w:tcW w:w="421" w:type="pct"/>
            <w:tcBorders>
              <w:top w:val="nil"/>
              <w:left w:val="nil"/>
              <w:bottom w:val="single" w:sz="8" w:space="0" w:color="auto"/>
              <w:right w:val="single" w:sz="8" w:space="0" w:color="auto"/>
            </w:tcBorders>
            <w:shd w:val="clear" w:color="000000" w:fill="FFFFFF"/>
            <w:vAlign w:val="center"/>
            <w:hideMark/>
          </w:tcPr>
          <w:p w14:paraId="346E69B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0AD957A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4F04B640"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-13.855</w:t>
            </w:r>
          </w:p>
        </w:tc>
        <w:tc>
          <w:tcPr>
            <w:tcW w:w="147" w:type="pct"/>
            <w:tcBorders>
              <w:top w:val="nil"/>
              <w:left w:val="nil"/>
              <w:bottom w:val="single" w:sz="8" w:space="0" w:color="auto"/>
              <w:right w:val="nil"/>
            </w:tcBorders>
            <w:shd w:val="clear" w:color="000000" w:fill="FFFFFF"/>
            <w:vAlign w:val="center"/>
            <w:hideMark/>
          </w:tcPr>
          <w:p w14:paraId="02D0968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172ACA3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5F9CD41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-13.976</w:t>
            </w:r>
          </w:p>
        </w:tc>
        <w:tc>
          <w:tcPr>
            <w:tcW w:w="177" w:type="pct"/>
            <w:tcBorders>
              <w:top w:val="nil"/>
              <w:left w:val="nil"/>
              <w:bottom w:val="single" w:sz="8" w:space="0" w:color="auto"/>
              <w:right w:val="nil"/>
            </w:tcBorders>
            <w:shd w:val="clear" w:color="000000" w:fill="FFFFFF"/>
            <w:vAlign w:val="center"/>
            <w:hideMark/>
          </w:tcPr>
          <w:p w14:paraId="1E821A21"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0031234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-3.1%</w:t>
            </w:r>
          </w:p>
        </w:tc>
        <w:tc>
          <w:tcPr>
            <w:tcW w:w="419" w:type="pct"/>
            <w:tcBorders>
              <w:top w:val="nil"/>
              <w:left w:val="nil"/>
              <w:bottom w:val="single" w:sz="8" w:space="0" w:color="auto"/>
              <w:right w:val="single" w:sz="8" w:space="0" w:color="auto"/>
            </w:tcBorders>
            <w:shd w:val="clear" w:color="000000" w:fill="FFFFFF"/>
            <w:vAlign w:val="center"/>
            <w:hideMark/>
          </w:tcPr>
          <w:p w14:paraId="78242D7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-2.5%</w:t>
            </w:r>
          </w:p>
        </w:tc>
        <w:tc>
          <w:tcPr>
            <w:tcW w:w="445" w:type="pct"/>
            <w:tcBorders>
              <w:top w:val="nil"/>
              <w:left w:val="nil"/>
              <w:bottom w:val="single" w:sz="8" w:space="0" w:color="auto"/>
              <w:right w:val="single" w:sz="8" w:space="0" w:color="auto"/>
            </w:tcBorders>
            <w:shd w:val="clear" w:color="000000" w:fill="FFFFFF"/>
            <w:vAlign w:val="center"/>
            <w:hideMark/>
          </w:tcPr>
          <w:p w14:paraId="1EF12F0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2.8%</w:t>
            </w:r>
          </w:p>
        </w:tc>
      </w:tr>
      <w:tr w:rsidR="005D6D9C" w:rsidRPr="00757989" w14:paraId="5EE0343B"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74A90B3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Facilities Cost</w:t>
            </w:r>
          </w:p>
        </w:tc>
        <w:tc>
          <w:tcPr>
            <w:tcW w:w="421" w:type="pct"/>
            <w:tcBorders>
              <w:top w:val="nil"/>
              <w:left w:val="nil"/>
              <w:bottom w:val="single" w:sz="8" w:space="0" w:color="auto"/>
              <w:right w:val="single" w:sz="8" w:space="0" w:color="auto"/>
            </w:tcBorders>
            <w:shd w:val="clear" w:color="000000" w:fill="FFFFFF"/>
            <w:vAlign w:val="center"/>
            <w:hideMark/>
          </w:tcPr>
          <w:p w14:paraId="141F324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0BD9127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21A6CB1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-17.943</w:t>
            </w:r>
          </w:p>
        </w:tc>
        <w:tc>
          <w:tcPr>
            <w:tcW w:w="147" w:type="pct"/>
            <w:tcBorders>
              <w:top w:val="nil"/>
              <w:left w:val="nil"/>
              <w:bottom w:val="single" w:sz="8" w:space="0" w:color="auto"/>
              <w:right w:val="nil"/>
            </w:tcBorders>
            <w:shd w:val="clear" w:color="000000" w:fill="FFFFFF"/>
            <w:vAlign w:val="center"/>
            <w:hideMark/>
          </w:tcPr>
          <w:p w14:paraId="16CA9D2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75FBD2E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58D70424"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-17.963</w:t>
            </w:r>
          </w:p>
        </w:tc>
        <w:tc>
          <w:tcPr>
            <w:tcW w:w="177" w:type="pct"/>
            <w:tcBorders>
              <w:top w:val="nil"/>
              <w:left w:val="nil"/>
              <w:bottom w:val="single" w:sz="8" w:space="0" w:color="auto"/>
              <w:right w:val="nil"/>
            </w:tcBorders>
            <w:shd w:val="clear" w:color="000000" w:fill="FFFFFF"/>
            <w:vAlign w:val="center"/>
            <w:hideMark/>
          </w:tcPr>
          <w:p w14:paraId="4BC6CEA4"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24F2433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-0.5%</w:t>
            </w:r>
          </w:p>
        </w:tc>
        <w:tc>
          <w:tcPr>
            <w:tcW w:w="419" w:type="pct"/>
            <w:tcBorders>
              <w:top w:val="nil"/>
              <w:left w:val="nil"/>
              <w:bottom w:val="single" w:sz="8" w:space="0" w:color="auto"/>
              <w:right w:val="single" w:sz="8" w:space="0" w:color="auto"/>
            </w:tcBorders>
            <w:shd w:val="clear" w:color="000000" w:fill="FFFFFF"/>
            <w:vAlign w:val="center"/>
            <w:hideMark/>
          </w:tcPr>
          <w:p w14:paraId="7D0891E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-0.5%</w:t>
            </w:r>
          </w:p>
        </w:tc>
        <w:tc>
          <w:tcPr>
            <w:tcW w:w="445" w:type="pct"/>
            <w:tcBorders>
              <w:top w:val="nil"/>
              <w:left w:val="nil"/>
              <w:bottom w:val="single" w:sz="8" w:space="0" w:color="auto"/>
              <w:right w:val="single" w:sz="8" w:space="0" w:color="auto"/>
            </w:tcBorders>
            <w:shd w:val="clear" w:color="000000" w:fill="FFFFFF"/>
            <w:vAlign w:val="center"/>
            <w:hideMark/>
          </w:tcPr>
          <w:p w14:paraId="4CD33D3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0.5%</w:t>
            </w:r>
          </w:p>
        </w:tc>
      </w:tr>
      <w:tr w:rsidR="005D6D9C" w:rsidRPr="00757989" w14:paraId="3299CC7E"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5A409FB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Pumping Cost</w:t>
            </w:r>
          </w:p>
        </w:tc>
        <w:tc>
          <w:tcPr>
            <w:tcW w:w="421" w:type="pct"/>
            <w:tcBorders>
              <w:top w:val="nil"/>
              <w:left w:val="nil"/>
              <w:bottom w:val="single" w:sz="8" w:space="0" w:color="auto"/>
              <w:right w:val="single" w:sz="8" w:space="0" w:color="auto"/>
            </w:tcBorders>
            <w:shd w:val="clear" w:color="000000" w:fill="FFFFFF"/>
            <w:vAlign w:val="center"/>
            <w:hideMark/>
          </w:tcPr>
          <w:p w14:paraId="7C3AFE1F"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7E33EDA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2930622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-5.957</w:t>
            </w:r>
          </w:p>
        </w:tc>
        <w:tc>
          <w:tcPr>
            <w:tcW w:w="147" w:type="pct"/>
            <w:tcBorders>
              <w:top w:val="nil"/>
              <w:left w:val="nil"/>
              <w:bottom w:val="single" w:sz="8" w:space="0" w:color="auto"/>
              <w:right w:val="nil"/>
            </w:tcBorders>
            <w:shd w:val="clear" w:color="000000" w:fill="FFFFFF"/>
            <w:vAlign w:val="center"/>
            <w:hideMark/>
          </w:tcPr>
          <w:p w14:paraId="4032473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63E2C2A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0D533B7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-6.294</w:t>
            </w:r>
          </w:p>
        </w:tc>
        <w:tc>
          <w:tcPr>
            <w:tcW w:w="177" w:type="pct"/>
            <w:tcBorders>
              <w:top w:val="nil"/>
              <w:left w:val="nil"/>
              <w:bottom w:val="single" w:sz="8" w:space="0" w:color="auto"/>
              <w:right w:val="nil"/>
            </w:tcBorders>
            <w:shd w:val="clear" w:color="000000" w:fill="FFFFFF"/>
            <w:vAlign w:val="center"/>
            <w:hideMark/>
          </w:tcPr>
          <w:p w14:paraId="4D1C3AA9"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4F0352B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-30.1%</w:t>
            </w:r>
          </w:p>
        </w:tc>
        <w:tc>
          <w:tcPr>
            <w:tcW w:w="419" w:type="pct"/>
            <w:tcBorders>
              <w:top w:val="nil"/>
              <w:left w:val="nil"/>
              <w:bottom w:val="single" w:sz="8" w:space="0" w:color="auto"/>
              <w:right w:val="single" w:sz="8" w:space="0" w:color="auto"/>
            </w:tcBorders>
            <w:shd w:val="clear" w:color="000000" w:fill="FFFFFF"/>
            <w:vAlign w:val="center"/>
            <w:hideMark/>
          </w:tcPr>
          <w:p w14:paraId="4D8910D8"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-42.0%</w:t>
            </w:r>
          </w:p>
        </w:tc>
        <w:tc>
          <w:tcPr>
            <w:tcW w:w="445" w:type="pct"/>
            <w:tcBorders>
              <w:top w:val="nil"/>
              <w:left w:val="nil"/>
              <w:bottom w:val="single" w:sz="8" w:space="0" w:color="auto"/>
              <w:right w:val="single" w:sz="8" w:space="0" w:color="auto"/>
            </w:tcBorders>
            <w:shd w:val="clear" w:color="000000" w:fill="FFFFFF"/>
            <w:vAlign w:val="center"/>
            <w:hideMark/>
          </w:tcPr>
          <w:p w14:paraId="1E580A8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83.0%</w:t>
            </w:r>
          </w:p>
        </w:tc>
      </w:tr>
      <w:tr w:rsidR="005D6D9C" w:rsidRPr="00757989" w14:paraId="048CB5F9"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5146CE9F"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Operations Cost</w:t>
            </w:r>
          </w:p>
        </w:tc>
        <w:tc>
          <w:tcPr>
            <w:tcW w:w="421" w:type="pct"/>
            <w:tcBorders>
              <w:top w:val="nil"/>
              <w:left w:val="nil"/>
              <w:bottom w:val="single" w:sz="8" w:space="0" w:color="auto"/>
              <w:right w:val="single" w:sz="8" w:space="0" w:color="auto"/>
            </w:tcBorders>
            <w:shd w:val="clear" w:color="000000" w:fill="FFFFFF"/>
            <w:vAlign w:val="center"/>
            <w:hideMark/>
          </w:tcPr>
          <w:p w14:paraId="2471833A"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31C41D44"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4BA3815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-7.036</w:t>
            </w:r>
          </w:p>
        </w:tc>
        <w:tc>
          <w:tcPr>
            <w:tcW w:w="147" w:type="pct"/>
            <w:tcBorders>
              <w:top w:val="nil"/>
              <w:left w:val="nil"/>
              <w:bottom w:val="single" w:sz="8" w:space="0" w:color="auto"/>
              <w:right w:val="nil"/>
            </w:tcBorders>
            <w:shd w:val="clear" w:color="000000" w:fill="FFFFFF"/>
            <w:vAlign w:val="center"/>
            <w:hideMark/>
          </w:tcPr>
          <w:p w14:paraId="5AA58C9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1C0F809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19C4940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-7.410</w:t>
            </w:r>
          </w:p>
        </w:tc>
        <w:tc>
          <w:tcPr>
            <w:tcW w:w="177" w:type="pct"/>
            <w:tcBorders>
              <w:top w:val="nil"/>
              <w:left w:val="nil"/>
              <w:bottom w:val="single" w:sz="8" w:space="0" w:color="auto"/>
              <w:right w:val="nil"/>
            </w:tcBorders>
            <w:shd w:val="clear" w:color="000000" w:fill="FFFFFF"/>
            <w:vAlign w:val="center"/>
            <w:hideMark/>
          </w:tcPr>
          <w:p w14:paraId="25704184"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5E8E1E6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-30.0%</w:t>
            </w:r>
          </w:p>
        </w:tc>
        <w:tc>
          <w:tcPr>
            <w:tcW w:w="419" w:type="pct"/>
            <w:tcBorders>
              <w:top w:val="nil"/>
              <w:left w:val="nil"/>
              <w:bottom w:val="single" w:sz="8" w:space="0" w:color="auto"/>
              <w:right w:val="single" w:sz="8" w:space="0" w:color="auto"/>
            </w:tcBorders>
            <w:shd w:val="clear" w:color="000000" w:fill="FFFFFF"/>
            <w:vAlign w:val="center"/>
            <w:hideMark/>
          </w:tcPr>
          <w:p w14:paraId="0D31FB4A"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-77.8%</w:t>
            </w:r>
          </w:p>
        </w:tc>
        <w:tc>
          <w:tcPr>
            <w:tcW w:w="445" w:type="pct"/>
            <w:tcBorders>
              <w:top w:val="nil"/>
              <w:left w:val="nil"/>
              <w:bottom w:val="single" w:sz="8" w:space="0" w:color="auto"/>
              <w:right w:val="single" w:sz="8" w:space="0" w:color="auto"/>
            </w:tcBorders>
            <w:shd w:val="clear" w:color="000000" w:fill="FFFFFF"/>
            <w:vAlign w:val="center"/>
            <w:hideMark/>
          </w:tcPr>
          <w:p w14:paraId="5182087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63.9%</w:t>
            </w:r>
          </w:p>
        </w:tc>
      </w:tr>
      <w:tr w:rsidR="005D6D9C" w:rsidRPr="00757989" w14:paraId="40B2D997"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252DD00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Electricity Sales</w:t>
            </w:r>
          </w:p>
        </w:tc>
        <w:tc>
          <w:tcPr>
            <w:tcW w:w="421" w:type="pct"/>
            <w:tcBorders>
              <w:top w:val="nil"/>
              <w:left w:val="nil"/>
              <w:bottom w:val="single" w:sz="8" w:space="0" w:color="auto"/>
              <w:right w:val="single" w:sz="8" w:space="0" w:color="auto"/>
            </w:tcBorders>
            <w:shd w:val="clear" w:color="000000" w:fill="FFFFFF"/>
            <w:vAlign w:val="center"/>
            <w:hideMark/>
          </w:tcPr>
          <w:p w14:paraId="6992435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2B2ED75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3F082A47"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22.701</w:t>
            </w:r>
          </w:p>
        </w:tc>
        <w:tc>
          <w:tcPr>
            <w:tcW w:w="147" w:type="pct"/>
            <w:tcBorders>
              <w:top w:val="nil"/>
              <w:left w:val="nil"/>
              <w:bottom w:val="single" w:sz="8" w:space="0" w:color="auto"/>
              <w:right w:val="nil"/>
            </w:tcBorders>
            <w:shd w:val="clear" w:color="000000" w:fill="FFFFFF"/>
            <w:vAlign w:val="center"/>
            <w:hideMark/>
          </w:tcPr>
          <w:p w14:paraId="374AC16E"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49EB786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69778A7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23.547</w:t>
            </w:r>
          </w:p>
        </w:tc>
        <w:tc>
          <w:tcPr>
            <w:tcW w:w="177" w:type="pct"/>
            <w:tcBorders>
              <w:top w:val="nil"/>
              <w:left w:val="nil"/>
              <w:bottom w:val="single" w:sz="8" w:space="0" w:color="auto"/>
              <w:right w:val="nil"/>
            </w:tcBorders>
            <w:shd w:val="clear" w:color="000000" w:fill="FFFFFF"/>
            <w:vAlign w:val="center"/>
            <w:hideMark/>
          </w:tcPr>
          <w:p w14:paraId="2A070EA2"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6BC920CF"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28.7%</w:t>
            </w:r>
          </w:p>
        </w:tc>
        <w:tc>
          <w:tcPr>
            <w:tcW w:w="419" w:type="pct"/>
            <w:tcBorders>
              <w:top w:val="nil"/>
              <w:left w:val="nil"/>
              <w:bottom w:val="single" w:sz="8" w:space="0" w:color="auto"/>
              <w:right w:val="single" w:sz="8" w:space="0" w:color="auto"/>
            </w:tcBorders>
            <w:shd w:val="clear" w:color="000000" w:fill="FFFFFF"/>
            <w:vAlign w:val="center"/>
            <w:hideMark/>
          </w:tcPr>
          <w:p w14:paraId="1DFC9BBD"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-70.5%</w:t>
            </w:r>
          </w:p>
        </w:tc>
        <w:tc>
          <w:tcPr>
            <w:tcW w:w="445" w:type="pct"/>
            <w:tcBorders>
              <w:top w:val="nil"/>
              <w:left w:val="nil"/>
              <w:bottom w:val="single" w:sz="8" w:space="0" w:color="auto"/>
              <w:right w:val="single" w:sz="8" w:space="0" w:color="auto"/>
            </w:tcBorders>
            <w:shd w:val="clear" w:color="000000" w:fill="FFFFFF"/>
            <w:vAlign w:val="center"/>
            <w:hideMark/>
          </w:tcPr>
          <w:p w14:paraId="7EEF62E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51.2%</w:t>
            </w:r>
          </w:p>
        </w:tc>
      </w:tr>
      <w:tr w:rsidR="005D6D9C" w:rsidRPr="00757989" w14:paraId="4CD62CAE"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2852586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NPV</w:t>
            </w:r>
          </w:p>
        </w:tc>
        <w:tc>
          <w:tcPr>
            <w:tcW w:w="421" w:type="pct"/>
            <w:tcBorders>
              <w:top w:val="nil"/>
              <w:left w:val="nil"/>
              <w:bottom w:val="single" w:sz="8" w:space="0" w:color="auto"/>
              <w:right w:val="single" w:sz="8" w:space="0" w:color="auto"/>
            </w:tcBorders>
            <w:shd w:val="clear" w:color="000000" w:fill="FFFFFF"/>
            <w:vAlign w:val="center"/>
            <w:hideMark/>
          </w:tcPr>
          <w:p w14:paraId="7A15A255"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t>
            </w:r>
          </w:p>
        </w:tc>
        <w:tc>
          <w:tcPr>
            <w:tcW w:w="410" w:type="pct"/>
            <w:tcBorders>
              <w:top w:val="nil"/>
              <w:left w:val="nil"/>
              <w:bottom w:val="single" w:sz="8" w:space="0" w:color="auto"/>
              <w:right w:val="single" w:sz="8" w:space="0" w:color="auto"/>
            </w:tcBorders>
            <w:shd w:val="clear" w:color="000000" w:fill="FFFFFF"/>
            <w:vAlign w:val="center"/>
            <w:hideMark/>
          </w:tcPr>
          <w:p w14:paraId="2B0184F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745631A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-21.085</w:t>
            </w:r>
          </w:p>
        </w:tc>
        <w:tc>
          <w:tcPr>
            <w:tcW w:w="147" w:type="pct"/>
            <w:tcBorders>
              <w:top w:val="nil"/>
              <w:left w:val="nil"/>
              <w:bottom w:val="single" w:sz="8" w:space="0" w:color="auto"/>
              <w:right w:val="nil"/>
            </w:tcBorders>
            <w:shd w:val="clear" w:color="000000" w:fill="FFFFFF"/>
            <w:vAlign w:val="center"/>
            <w:hideMark/>
          </w:tcPr>
          <w:p w14:paraId="29BC73B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3DAF2FD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04CAD2C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-21.171</w:t>
            </w:r>
          </w:p>
        </w:tc>
        <w:tc>
          <w:tcPr>
            <w:tcW w:w="177" w:type="pct"/>
            <w:tcBorders>
              <w:top w:val="nil"/>
              <w:left w:val="nil"/>
              <w:bottom w:val="single" w:sz="8" w:space="0" w:color="auto"/>
              <w:right w:val="nil"/>
            </w:tcBorders>
            <w:shd w:val="clear" w:color="000000" w:fill="FFFFFF"/>
            <w:vAlign w:val="center"/>
            <w:hideMark/>
          </w:tcPr>
          <w:p w14:paraId="7403D774"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526D76D3"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-15.7%</w:t>
            </w:r>
          </w:p>
        </w:tc>
        <w:tc>
          <w:tcPr>
            <w:tcW w:w="419" w:type="pct"/>
            <w:tcBorders>
              <w:top w:val="nil"/>
              <w:left w:val="nil"/>
              <w:bottom w:val="single" w:sz="8" w:space="0" w:color="auto"/>
              <w:right w:val="single" w:sz="8" w:space="0" w:color="auto"/>
            </w:tcBorders>
            <w:shd w:val="clear" w:color="000000" w:fill="FFFFFF"/>
            <w:vAlign w:val="center"/>
            <w:hideMark/>
          </w:tcPr>
          <w:p w14:paraId="4C7455E4"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-44.4%</w:t>
            </w:r>
          </w:p>
        </w:tc>
        <w:tc>
          <w:tcPr>
            <w:tcW w:w="445" w:type="pct"/>
            <w:tcBorders>
              <w:top w:val="nil"/>
              <w:left w:val="nil"/>
              <w:bottom w:val="single" w:sz="8" w:space="0" w:color="auto"/>
              <w:right w:val="single" w:sz="8" w:space="0" w:color="auto"/>
            </w:tcBorders>
            <w:shd w:val="clear" w:color="000000" w:fill="FFFFFF"/>
            <w:vAlign w:val="center"/>
            <w:hideMark/>
          </w:tcPr>
          <w:p w14:paraId="260FF27B"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41.0%</w:t>
            </w:r>
          </w:p>
        </w:tc>
      </w:tr>
      <w:tr w:rsidR="005D6D9C" w:rsidRPr="00757989" w14:paraId="6F87F85C"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4F7CDA70"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LCOE</w:t>
            </w:r>
          </w:p>
        </w:tc>
        <w:tc>
          <w:tcPr>
            <w:tcW w:w="421" w:type="pct"/>
            <w:tcBorders>
              <w:top w:val="nil"/>
              <w:left w:val="nil"/>
              <w:bottom w:val="single" w:sz="8" w:space="0" w:color="auto"/>
              <w:right w:val="single" w:sz="8" w:space="0" w:color="auto"/>
            </w:tcBorders>
            <w:shd w:val="clear" w:color="000000" w:fill="FFFFFF"/>
            <w:vAlign w:val="center"/>
            <w:hideMark/>
          </w:tcPr>
          <w:p w14:paraId="03D4E29E"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$/MWh</w:t>
            </w:r>
          </w:p>
        </w:tc>
        <w:tc>
          <w:tcPr>
            <w:tcW w:w="410" w:type="pct"/>
            <w:tcBorders>
              <w:top w:val="nil"/>
              <w:left w:val="nil"/>
              <w:bottom w:val="single" w:sz="8" w:space="0" w:color="auto"/>
              <w:right w:val="single" w:sz="8" w:space="0" w:color="auto"/>
            </w:tcBorders>
            <w:shd w:val="clear" w:color="000000" w:fill="FFFFFF"/>
            <w:vAlign w:val="center"/>
            <w:hideMark/>
          </w:tcPr>
          <w:p w14:paraId="19067867"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2845D951"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546.055</w:t>
            </w:r>
          </w:p>
        </w:tc>
        <w:tc>
          <w:tcPr>
            <w:tcW w:w="147" w:type="pct"/>
            <w:tcBorders>
              <w:top w:val="nil"/>
              <w:left w:val="nil"/>
              <w:bottom w:val="single" w:sz="8" w:space="0" w:color="auto"/>
              <w:right w:val="nil"/>
            </w:tcBorders>
            <w:shd w:val="clear" w:color="000000" w:fill="FFFFFF"/>
            <w:vAlign w:val="center"/>
            <w:hideMark/>
          </w:tcPr>
          <w:p w14:paraId="1AAEC05C"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3D164B4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1B52FC6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545.6485</w:t>
            </w:r>
          </w:p>
        </w:tc>
        <w:tc>
          <w:tcPr>
            <w:tcW w:w="177" w:type="pct"/>
            <w:tcBorders>
              <w:top w:val="nil"/>
              <w:left w:val="nil"/>
              <w:bottom w:val="single" w:sz="8" w:space="0" w:color="auto"/>
              <w:right w:val="nil"/>
            </w:tcBorders>
            <w:shd w:val="clear" w:color="000000" w:fill="FFFFFF"/>
            <w:vAlign w:val="center"/>
            <w:hideMark/>
          </w:tcPr>
          <w:p w14:paraId="59A99677"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59FE430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18.3%</w:t>
            </w:r>
          </w:p>
        </w:tc>
        <w:tc>
          <w:tcPr>
            <w:tcW w:w="419" w:type="pct"/>
            <w:tcBorders>
              <w:top w:val="nil"/>
              <w:left w:val="nil"/>
              <w:bottom w:val="single" w:sz="8" w:space="0" w:color="auto"/>
              <w:right w:val="single" w:sz="8" w:space="0" w:color="auto"/>
            </w:tcBorders>
            <w:shd w:val="clear" w:color="000000" w:fill="FFFFFF"/>
            <w:vAlign w:val="center"/>
            <w:hideMark/>
          </w:tcPr>
          <w:p w14:paraId="0A5E1752"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-28.7%</w:t>
            </w:r>
          </w:p>
        </w:tc>
        <w:tc>
          <w:tcPr>
            <w:tcW w:w="445" w:type="pct"/>
            <w:tcBorders>
              <w:top w:val="nil"/>
              <w:left w:val="nil"/>
              <w:bottom w:val="single" w:sz="8" w:space="0" w:color="auto"/>
              <w:right w:val="single" w:sz="8" w:space="0" w:color="auto"/>
            </w:tcBorders>
            <w:shd w:val="clear" w:color="000000" w:fill="FFFFFF"/>
            <w:vAlign w:val="center"/>
            <w:hideMark/>
          </w:tcPr>
          <w:p w14:paraId="56B16BF8" w14:textId="195F5B76" w:rsidR="00757989" w:rsidRPr="00757989" w:rsidRDefault="00757989" w:rsidP="00757989">
            <w:pPr>
              <w:spacing w:after="0" w:line="240" w:lineRule="auto"/>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1796.2%</w:t>
            </w:r>
          </w:p>
        </w:tc>
      </w:tr>
      <w:tr w:rsidR="005D6D9C" w:rsidRPr="00757989" w14:paraId="6913ADCB"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4E4FD78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IRR</w:t>
            </w:r>
          </w:p>
        </w:tc>
        <w:tc>
          <w:tcPr>
            <w:tcW w:w="421" w:type="pct"/>
            <w:tcBorders>
              <w:top w:val="nil"/>
              <w:left w:val="nil"/>
              <w:bottom w:val="single" w:sz="8" w:space="0" w:color="auto"/>
              <w:right w:val="single" w:sz="8" w:space="0" w:color="auto"/>
            </w:tcBorders>
            <w:shd w:val="clear" w:color="000000" w:fill="FFFFFF"/>
            <w:vAlign w:val="center"/>
            <w:hideMark/>
          </w:tcPr>
          <w:p w14:paraId="680B7A41"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w:t>
            </w:r>
          </w:p>
        </w:tc>
        <w:tc>
          <w:tcPr>
            <w:tcW w:w="410" w:type="pct"/>
            <w:tcBorders>
              <w:top w:val="nil"/>
              <w:left w:val="nil"/>
              <w:bottom w:val="single" w:sz="8" w:space="0" w:color="auto"/>
              <w:right w:val="single" w:sz="8" w:space="0" w:color="auto"/>
            </w:tcBorders>
            <w:shd w:val="clear" w:color="000000" w:fill="FFFFFF"/>
            <w:vAlign w:val="center"/>
            <w:hideMark/>
          </w:tcPr>
          <w:p w14:paraId="1B5DFC43"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7FA3585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neg.</w:t>
            </w:r>
          </w:p>
        </w:tc>
        <w:tc>
          <w:tcPr>
            <w:tcW w:w="147" w:type="pct"/>
            <w:tcBorders>
              <w:top w:val="nil"/>
              <w:left w:val="nil"/>
              <w:bottom w:val="single" w:sz="8" w:space="0" w:color="auto"/>
              <w:right w:val="nil"/>
            </w:tcBorders>
            <w:shd w:val="clear" w:color="000000" w:fill="FFFFFF"/>
            <w:vAlign w:val="center"/>
            <w:hideMark/>
          </w:tcPr>
          <w:p w14:paraId="38814F8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53D40DC2"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511" w:type="pct"/>
            <w:tcBorders>
              <w:top w:val="nil"/>
              <w:left w:val="nil"/>
              <w:bottom w:val="single" w:sz="8" w:space="0" w:color="auto"/>
              <w:right w:val="nil"/>
            </w:tcBorders>
            <w:shd w:val="clear" w:color="000000" w:fill="FFFFFF"/>
            <w:vAlign w:val="center"/>
            <w:hideMark/>
          </w:tcPr>
          <w:p w14:paraId="0920BC0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neg.</w:t>
            </w:r>
          </w:p>
        </w:tc>
        <w:tc>
          <w:tcPr>
            <w:tcW w:w="177" w:type="pct"/>
            <w:tcBorders>
              <w:top w:val="nil"/>
              <w:left w:val="nil"/>
              <w:bottom w:val="single" w:sz="8" w:space="0" w:color="auto"/>
              <w:right w:val="nil"/>
            </w:tcBorders>
            <w:shd w:val="clear" w:color="000000" w:fill="FFFFFF"/>
            <w:vAlign w:val="center"/>
            <w:hideMark/>
          </w:tcPr>
          <w:p w14:paraId="47D9DEE9"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FFFFF"/>
            <w:vAlign w:val="center"/>
            <w:hideMark/>
          </w:tcPr>
          <w:p w14:paraId="0C497B59"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19" w:type="pct"/>
            <w:tcBorders>
              <w:top w:val="nil"/>
              <w:left w:val="nil"/>
              <w:bottom w:val="single" w:sz="8" w:space="0" w:color="auto"/>
              <w:right w:val="single" w:sz="8" w:space="0" w:color="auto"/>
            </w:tcBorders>
            <w:shd w:val="clear" w:color="000000" w:fill="FFFFFF"/>
            <w:vAlign w:val="center"/>
            <w:hideMark/>
          </w:tcPr>
          <w:p w14:paraId="7A0DAB9E"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45" w:type="pct"/>
            <w:tcBorders>
              <w:top w:val="nil"/>
              <w:left w:val="nil"/>
              <w:bottom w:val="single" w:sz="8" w:space="0" w:color="auto"/>
              <w:right w:val="single" w:sz="8" w:space="0" w:color="auto"/>
            </w:tcBorders>
            <w:shd w:val="clear" w:color="000000" w:fill="FFFFFF"/>
            <w:vAlign w:val="center"/>
            <w:hideMark/>
          </w:tcPr>
          <w:p w14:paraId="797DC5A1"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r>
      <w:tr w:rsidR="005D6D9C" w:rsidRPr="00757989" w14:paraId="40224843" w14:textId="77777777" w:rsidTr="00CC645D">
        <w:trPr>
          <w:trHeight w:val="46"/>
        </w:trPr>
        <w:tc>
          <w:tcPr>
            <w:tcW w:w="1170" w:type="pct"/>
            <w:tcBorders>
              <w:top w:val="nil"/>
              <w:left w:val="single" w:sz="8" w:space="0" w:color="auto"/>
              <w:bottom w:val="single" w:sz="8" w:space="0" w:color="auto"/>
              <w:right w:val="single" w:sz="8" w:space="0" w:color="auto"/>
            </w:tcBorders>
            <w:shd w:val="clear" w:color="000000" w:fill="FFFFFF"/>
            <w:vAlign w:val="center"/>
            <w:hideMark/>
          </w:tcPr>
          <w:p w14:paraId="32FF2BC6"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CO2 Offset</w:t>
            </w:r>
          </w:p>
        </w:tc>
        <w:tc>
          <w:tcPr>
            <w:tcW w:w="421" w:type="pct"/>
            <w:tcBorders>
              <w:top w:val="nil"/>
              <w:left w:val="nil"/>
              <w:bottom w:val="single" w:sz="8" w:space="0" w:color="auto"/>
              <w:right w:val="single" w:sz="8" w:space="0" w:color="auto"/>
            </w:tcBorders>
            <w:shd w:val="clear" w:color="000000" w:fill="FFFFFF"/>
            <w:vAlign w:val="center"/>
            <w:hideMark/>
          </w:tcPr>
          <w:p w14:paraId="023F1B68"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car-yr</w:t>
            </w:r>
          </w:p>
        </w:tc>
        <w:tc>
          <w:tcPr>
            <w:tcW w:w="410" w:type="pct"/>
            <w:tcBorders>
              <w:top w:val="nil"/>
              <w:left w:val="nil"/>
              <w:bottom w:val="single" w:sz="8" w:space="0" w:color="auto"/>
              <w:right w:val="single" w:sz="8" w:space="0" w:color="auto"/>
            </w:tcBorders>
            <w:shd w:val="clear" w:color="000000" w:fill="FFFFFF"/>
            <w:vAlign w:val="center"/>
            <w:hideMark/>
          </w:tcPr>
          <w:p w14:paraId="4A0B1B67"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60" w:type="pct"/>
            <w:tcBorders>
              <w:top w:val="nil"/>
              <w:left w:val="nil"/>
              <w:bottom w:val="single" w:sz="8" w:space="0" w:color="auto"/>
              <w:right w:val="nil"/>
            </w:tcBorders>
            <w:shd w:val="clear" w:color="000000" w:fill="FFFFFF"/>
            <w:vAlign w:val="center"/>
            <w:hideMark/>
          </w:tcPr>
          <w:p w14:paraId="27272839"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5699.55</w:t>
            </w:r>
          </w:p>
        </w:tc>
        <w:tc>
          <w:tcPr>
            <w:tcW w:w="147" w:type="pct"/>
            <w:tcBorders>
              <w:top w:val="nil"/>
              <w:left w:val="nil"/>
              <w:bottom w:val="single" w:sz="8" w:space="0" w:color="auto"/>
              <w:right w:val="nil"/>
            </w:tcBorders>
            <w:shd w:val="clear" w:color="000000" w:fill="FFFFFF"/>
            <w:vAlign w:val="center"/>
            <w:hideMark/>
          </w:tcPr>
          <w:p w14:paraId="243EC91B" w14:textId="77777777" w:rsidR="00757989" w:rsidRPr="00757989" w:rsidRDefault="00757989" w:rsidP="00757989">
            <w:pPr>
              <w:spacing w:after="0" w:line="240" w:lineRule="auto"/>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 </w:t>
            </w:r>
          </w:p>
        </w:tc>
        <w:tc>
          <w:tcPr>
            <w:tcW w:w="420" w:type="pct"/>
            <w:tcBorders>
              <w:top w:val="nil"/>
              <w:left w:val="nil"/>
              <w:bottom w:val="single" w:sz="8" w:space="0" w:color="auto"/>
              <w:right w:val="single" w:sz="8" w:space="0" w:color="auto"/>
            </w:tcBorders>
            <w:shd w:val="clear" w:color="000000" w:fill="FFFFFF"/>
            <w:vAlign w:val="center"/>
            <w:hideMark/>
          </w:tcPr>
          <w:p w14:paraId="17B5E5B5"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0.0%</w:t>
            </w:r>
          </w:p>
        </w:tc>
        <w:tc>
          <w:tcPr>
            <w:tcW w:w="511" w:type="pct"/>
            <w:tcBorders>
              <w:top w:val="nil"/>
              <w:left w:val="nil"/>
              <w:bottom w:val="single" w:sz="8" w:space="0" w:color="auto"/>
              <w:right w:val="nil"/>
            </w:tcBorders>
            <w:shd w:val="clear" w:color="000000" w:fill="FFFFFF"/>
            <w:vAlign w:val="center"/>
            <w:hideMark/>
          </w:tcPr>
          <w:p w14:paraId="3839FC83"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5847.904</w:t>
            </w:r>
          </w:p>
        </w:tc>
        <w:tc>
          <w:tcPr>
            <w:tcW w:w="177" w:type="pct"/>
            <w:tcBorders>
              <w:top w:val="nil"/>
              <w:left w:val="nil"/>
              <w:bottom w:val="single" w:sz="8" w:space="0" w:color="auto"/>
              <w:right w:val="nil"/>
            </w:tcBorders>
            <w:shd w:val="clear" w:color="000000" w:fill="FFFFFF"/>
            <w:vAlign w:val="center"/>
            <w:hideMark/>
          </w:tcPr>
          <w:p w14:paraId="23990A6E" w14:textId="77777777" w:rsidR="00757989" w:rsidRPr="00757989" w:rsidRDefault="00757989" w:rsidP="00757989">
            <w:pPr>
              <w:spacing w:after="0" w:line="240" w:lineRule="auto"/>
              <w:rPr>
                <w:rFonts w:ascii="Aptos Narrow" w:eastAsia="Times New Roman" w:hAnsi="Aptos Narrow" w:cs="Times New Roman"/>
                <w:color w:val="000000"/>
                <w:kern w:val="0"/>
                <w:sz w:val="16"/>
                <w:szCs w:val="16"/>
                <w14:ligatures w14:val="none"/>
              </w:rPr>
            </w:pPr>
            <w:r w:rsidRPr="00757989">
              <w:rPr>
                <w:rFonts w:ascii="Aptos Narrow" w:eastAsia="Times New Roman" w:hAnsi="Aptos Narrow" w:cs="Times New Roman"/>
                <w:color w:val="000000"/>
                <w:kern w:val="0"/>
                <w:sz w:val="16"/>
                <w:szCs w:val="16"/>
                <w14:ligatures w14:val="none"/>
              </w:rPr>
              <w:t>±</w:t>
            </w:r>
          </w:p>
        </w:tc>
        <w:tc>
          <w:tcPr>
            <w:tcW w:w="419" w:type="pct"/>
            <w:tcBorders>
              <w:top w:val="nil"/>
              <w:left w:val="nil"/>
              <w:bottom w:val="single" w:sz="8" w:space="0" w:color="auto"/>
              <w:right w:val="single" w:sz="8" w:space="0" w:color="auto"/>
            </w:tcBorders>
            <w:shd w:val="clear" w:color="000000" w:fill="FFFFFF"/>
            <w:vAlign w:val="center"/>
            <w:hideMark/>
          </w:tcPr>
          <w:p w14:paraId="4131D376"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26.4%</w:t>
            </w:r>
          </w:p>
        </w:tc>
        <w:tc>
          <w:tcPr>
            <w:tcW w:w="419" w:type="pct"/>
            <w:tcBorders>
              <w:top w:val="nil"/>
              <w:left w:val="nil"/>
              <w:bottom w:val="single" w:sz="8" w:space="0" w:color="auto"/>
              <w:right w:val="single" w:sz="8" w:space="0" w:color="auto"/>
            </w:tcBorders>
            <w:shd w:val="clear" w:color="000000" w:fill="FFFFFF"/>
            <w:vAlign w:val="center"/>
            <w:hideMark/>
          </w:tcPr>
          <w:p w14:paraId="2F8A23DE"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-95.9%</w:t>
            </w:r>
          </w:p>
        </w:tc>
        <w:tc>
          <w:tcPr>
            <w:tcW w:w="445" w:type="pct"/>
            <w:tcBorders>
              <w:top w:val="nil"/>
              <w:left w:val="nil"/>
              <w:bottom w:val="single" w:sz="8" w:space="0" w:color="auto"/>
              <w:right w:val="single" w:sz="8" w:space="0" w:color="auto"/>
            </w:tcBorders>
            <w:shd w:val="clear" w:color="000000" w:fill="FFFFFF"/>
            <w:vAlign w:val="center"/>
            <w:hideMark/>
          </w:tcPr>
          <w:p w14:paraId="618ED8DC" w14:textId="77777777" w:rsidR="00757989" w:rsidRPr="00757989" w:rsidRDefault="00757989" w:rsidP="00757989">
            <w:pPr>
              <w:spacing w:after="0" w:line="240" w:lineRule="auto"/>
              <w:jc w:val="right"/>
              <w:rPr>
                <w:rFonts w:eastAsia="Times New Roman" w:cs="Times New Roman"/>
                <w:color w:val="000000"/>
                <w:kern w:val="0"/>
                <w:sz w:val="16"/>
                <w:szCs w:val="16"/>
                <w14:ligatures w14:val="none"/>
              </w:rPr>
            </w:pPr>
            <w:r w:rsidRPr="00757989">
              <w:rPr>
                <w:rFonts w:eastAsia="Times New Roman" w:cs="Times New Roman"/>
                <w:color w:val="000000"/>
                <w:kern w:val="0"/>
                <w:sz w:val="16"/>
                <w:szCs w:val="16"/>
                <w14:ligatures w14:val="none"/>
              </w:rPr>
              <w:t>60.0%</w:t>
            </w:r>
          </w:p>
        </w:tc>
      </w:tr>
    </w:tbl>
    <w:p w14:paraId="19C330BF" w14:textId="047FA6BD" w:rsidR="003504C1" w:rsidRPr="00757989" w:rsidRDefault="003504C1" w:rsidP="007E5428">
      <w:pPr>
        <w:rPr>
          <w:sz w:val="4"/>
          <w:szCs w:val="4"/>
        </w:rPr>
      </w:pPr>
    </w:p>
    <w:p w14:paraId="1C463856" w14:textId="5F349C73" w:rsidR="008C291B" w:rsidRDefault="00BD4793" w:rsidP="008C291B">
      <w:pPr>
        <w:keepNext/>
      </w:pPr>
      <w:r>
        <w:rPr>
          <w:noProof/>
        </w:rPr>
        <w:drawing>
          <wp:inline distT="0" distB="0" distL="0" distR="0" wp14:anchorId="45391BF7" wp14:editId="5DD57740">
            <wp:extent cx="5932752" cy="3160167"/>
            <wp:effectExtent l="0" t="0" r="0" b="2540"/>
            <wp:docPr id="164285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5965" cy="3172532"/>
                    </a:xfrm>
                    <a:prstGeom prst="rect">
                      <a:avLst/>
                    </a:prstGeom>
                    <a:noFill/>
                    <a:ln>
                      <a:noFill/>
                    </a:ln>
                  </pic:spPr>
                </pic:pic>
              </a:graphicData>
            </a:graphic>
          </wp:inline>
        </w:drawing>
      </w:r>
    </w:p>
    <w:p w14:paraId="71AAEE5B" w14:textId="100DE8D2" w:rsidR="006B7349" w:rsidRDefault="008C291B" w:rsidP="008C291B">
      <w:pPr>
        <w:pStyle w:val="Caption"/>
      </w:pPr>
      <w:bookmarkStart w:id="6" w:name="_Ref210060064"/>
      <w:r>
        <w:t xml:space="preserve">Figure </w:t>
      </w:r>
      <w:r>
        <w:fldChar w:fldCharType="begin"/>
      </w:r>
      <w:r>
        <w:instrText xml:space="preserve"> SEQ Figure \* ARABIC </w:instrText>
      </w:r>
      <w:r>
        <w:fldChar w:fldCharType="separate"/>
      </w:r>
      <w:r w:rsidR="005D1BFA">
        <w:rPr>
          <w:noProof/>
        </w:rPr>
        <w:t>4</w:t>
      </w:r>
      <w:r>
        <w:fldChar w:fldCharType="end"/>
      </w:r>
      <w:bookmarkEnd w:id="6"/>
      <w:r>
        <w:t xml:space="preserve">. Best fit from </w:t>
      </w:r>
      <w:r w:rsidR="007B057D">
        <w:t xml:space="preserve">history </w:t>
      </w:r>
      <w:proofErr w:type="gramStart"/>
      <w:r w:rsidR="007B057D">
        <w:t>match</w:t>
      </w:r>
      <w:proofErr w:type="gramEnd"/>
      <w:r>
        <w:t xml:space="preserve"> ensemble with model input parameters</w:t>
      </w:r>
      <w:r w:rsidR="007B057D">
        <w:t xml:space="preserve"> derived from field data</w:t>
      </w:r>
      <w:r>
        <w:t>.</w:t>
      </w:r>
    </w:p>
    <w:p w14:paraId="236FBF53" w14:textId="27C1A59B" w:rsidR="00E52207" w:rsidRDefault="00272F66" w:rsidP="00272F66">
      <w:r>
        <w:lastRenderedPageBreak/>
        <w:t xml:space="preserve">This result shows that a fracture conductivity of </w:t>
      </w:r>
      <w:r w:rsidR="007B057D">
        <w:t xml:space="preserve">233 </w:t>
      </w:r>
      <w:proofErr w:type="spellStart"/>
      <w:r>
        <w:t>mD</w:t>
      </w:r>
      <w:proofErr w:type="spellEnd"/>
      <w:r>
        <w:t xml:space="preserve">-ft enables a match for injection pressure when the tortuosity factor is close to 0.707. The related proppant permeability is </w:t>
      </w:r>
      <w:r w:rsidR="007B057D">
        <w:t>106</w:t>
      </w:r>
      <w:r>
        <w:t xml:space="preserve"> Darcy with a</w:t>
      </w:r>
      <w:r w:rsidR="000629C3">
        <w:t>n</w:t>
      </w:r>
      <w:r>
        <w:t xml:space="preserve"> </w:t>
      </w:r>
      <w:r w:rsidR="000629C3">
        <w:t xml:space="preserve">average </w:t>
      </w:r>
      <w:r>
        <w:t>concentration of 0.064 m3/m3 (</w:t>
      </w:r>
      <w:r w:rsidR="000629C3">
        <w:t>0.81 lb/gal</w:t>
      </w:r>
      <w:r>
        <w:t xml:space="preserve">) in the frac water. </w:t>
      </w:r>
    </w:p>
    <w:p w14:paraId="014B60D1" w14:textId="5D60141E" w:rsidR="00272F66" w:rsidRDefault="00E52207" w:rsidP="00272F66">
      <w:r>
        <w:t>The</w:t>
      </w:r>
      <w:r w:rsidR="00272F66">
        <w:t xml:space="preserve"> tortuosity factor</w:t>
      </w:r>
      <w:r w:rsidR="000629C3">
        <w:t xml:space="preserve"> </w:t>
      </w:r>
      <w:r>
        <w:t xml:space="preserve">of 0.707 </w:t>
      </w:r>
      <w:r w:rsidR="000629C3">
        <w:t xml:space="preserve">is applied in two ways. First, it reduces the number of active hydraulic fractures proportional to the number of perforation clusters. In this case with 101 clusters, the number of active fractures reduces to 70. Second, it modifies </w:t>
      </w:r>
      <w:r>
        <w:t xml:space="preserve">flow </w:t>
      </w:r>
      <w:r w:rsidR="000629C3">
        <w:t>heterogeneity through fracture</w:t>
      </w:r>
      <w:r>
        <w:t>s</w:t>
      </w:r>
      <w:r w:rsidR="000629C3">
        <w:t>. A tortuosity of 1 gives uniform flow</w:t>
      </w:r>
      <w:r>
        <w:t xml:space="preserve"> </w:t>
      </w:r>
      <w:r w:rsidR="000629C3">
        <w:t xml:space="preserve">per the Gringarten solution. A tortuosity of 0 </w:t>
      </w:r>
      <w:r>
        <w:t>concentrates</w:t>
      </w:r>
      <w:r w:rsidR="000629C3">
        <w:t xml:space="preserve"> all </w:t>
      </w:r>
      <w:r>
        <w:t xml:space="preserve">the </w:t>
      </w:r>
      <w:r w:rsidR="000629C3">
        <w:t xml:space="preserve">flow through one fracture. A tortuosity of 0.7 </w:t>
      </w:r>
      <w:r w:rsidR="008E59C2">
        <w:t xml:space="preserve">gives a </w:t>
      </w:r>
      <w:r w:rsidR="00CE0799">
        <w:t>d</w:t>
      </w:r>
      <w:r w:rsidR="000629C3">
        <w:t xml:space="preserve">istribution </w:t>
      </w:r>
      <w:r w:rsidR="00CE0799">
        <w:t>that matches the spinner-log field data (</w:t>
      </w:r>
      <w:r w:rsidR="00A96AED">
        <w:fldChar w:fldCharType="begin"/>
      </w:r>
      <w:r w:rsidR="00A96AED">
        <w:instrText xml:space="preserve"> REF _Ref210068345 \h </w:instrText>
      </w:r>
      <w:r w:rsidR="00A96AED">
        <w:fldChar w:fldCharType="separate"/>
      </w:r>
      <w:r w:rsidR="005D1BFA">
        <w:t xml:space="preserve">Figure </w:t>
      </w:r>
      <w:r w:rsidR="005D1BFA">
        <w:rPr>
          <w:noProof/>
        </w:rPr>
        <w:t>5</w:t>
      </w:r>
      <w:r w:rsidR="00A96AED">
        <w:fldChar w:fldCharType="end"/>
      </w:r>
      <w:r w:rsidR="00CE0799">
        <w:t>).</w:t>
      </w:r>
      <w:r w:rsidR="00A96AED">
        <w:t xml:space="preserve"> Arguably, the number of active fractures and the heterogeneity of flow through those fractures will be two unique numbers. Combining the two into a single coefficient simplifies the parameterization process while leveraging the practical understanding that having more fractures will help counteract the negative effects of the fewer fastest flowing fractures.</w:t>
      </w:r>
    </w:p>
    <w:p w14:paraId="6913ADB0" w14:textId="3247C02A" w:rsidR="00CE0799" w:rsidRDefault="00C0099F" w:rsidP="00CE0799">
      <w:pPr>
        <w:keepNext/>
      </w:pPr>
      <w:r>
        <w:rPr>
          <w:noProof/>
        </w:rPr>
        <w:drawing>
          <wp:inline distT="0" distB="0" distL="0" distR="0" wp14:anchorId="47F68F26" wp14:editId="52A8D6DD">
            <wp:extent cx="5943600" cy="3122930"/>
            <wp:effectExtent l="0" t="0" r="0" b="1270"/>
            <wp:docPr id="1343084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4BA7E67F" w14:textId="5B4522C9" w:rsidR="00CE0799" w:rsidRDefault="00CE0799" w:rsidP="00CE0799">
      <w:pPr>
        <w:pStyle w:val="Caption"/>
      </w:pPr>
      <w:bookmarkStart w:id="7" w:name="_Ref210068345"/>
      <w:r>
        <w:t xml:space="preserve">Figure </w:t>
      </w:r>
      <w:r>
        <w:fldChar w:fldCharType="begin"/>
      </w:r>
      <w:r>
        <w:instrText xml:space="preserve"> SEQ Figure \* ARABIC </w:instrText>
      </w:r>
      <w:r>
        <w:fldChar w:fldCharType="separate"/>
      </w:r>
      <w:r w:rsidR="005D1BFA">
        <w:rPr>
          <w:noProof/>
        </w:rPr>
        <w:t>5</w:t>
      </w:r>
      <w:r>
        <w:fldChar w:fldCharType="end"/>
      </w:r>
      <w:bookmarkEnd w:id="7"/>
      <w:r>
        <w:t xml:space="preserve">. </w:t>
      </w:r>
      <w:r w:rsidR="00A96AED">
        <w:t xml:space="preserve">GeoDT’s tortuosity factor </w:t>
      </w:r>
      <w:r w:rsidR="00E52207">
        <w:t xml:space="preserve">enables flow heterogeneity modeling to match </w:t>
      </w:r>
      <w:r w:rsidR="00A96AED">
        <w:t xml:space="preserve">the Blue Mountain field data </w:t>
      </w:r>
      <w:r w:rsidR="00E52207">
        <w:t>(Norbeck and Latimer, 2021)</w:t>
      </w:r>
      <w:r w:rsidR="00A96AED">
        <w:t xml:space="preserve">. </w:t>
      </w:r>
      <w:r w:rsidR="00E52207">
        <w:t>(Top) spinner log data shown as flow per fracture cluster. (Left) Sorted data matched to the tortuosity factor of 0.707. (Right) Discretization for 101 fractures rather than the logged data for 16 clusters.</w:t>
      </w:r>
    </w:p>
    <w:p w14:paraId="74031784" w14:textId="77777777" w:rsidR="007B057D" w:rsidRDefault="00E52207" w:rsidP="00272F66">
      <w:r>
        <w:t xml:space="preserve">The history match does well </w:t>
      </w:r>
      <w:r w:rsidR="007B057D">
        <w:t>for</w:t>
      </w:r>
      <w:r>
        <w:t xml:space="preserve"> all parameters</w:t>
      </w:r>
      <w:r w:rsidR="007B057D">
        <w:t>, with the production temperature match being the weakest</w:t>
      </w:r>
      <w:r>
        <w:t xml:space="preserve">. This disagreement stems from </w:t>
      </w:r>
      <w:r w:rsidR="007B057D">
        <w:t xml:space="preserve">a lack of detail for well the design, uncertainty in </w:t>
      </w:r>
      <w:r>
        <w:t>reservoir temperature</w:t>
      </w:r>
      <w:r w:rsidR="007B057D">
        <w:t xml:space="preserve">, and systematic error in </w:t>
      </w:r>
      <w:proofErr w:type="spellStart"/>
      <w:r w:rsidR="007B057D">
        <w:t>GeoDT’s</w:t>
      </w:r>
      <w:proofErr w:type="spellEnd"/>
      <w:r w:rsidR="007B057D">
        <w:t xml:space="preserve"> thermal solver that biases to slow heat transfer. The result is insensitive to the well cement’s thermal conductivity and heat capacity. </w:t>
      </w:r>
      <w:r>
        <w:t>This results in a slight</w:t>
      </w:r>
      <w:r w:rsidR="007B057D">
        <w:t xml:space="preserve"> overprediction of performance.</w:t>
      </w:r>
    </w:p>
    <w:p w14:paraId="407898B2" w14:textId="0572D6BA" w:rsidR="00A76C97" w:rsidRDefault="007B057D" w:rsidP="00272F66">
      <w:r>
        <w:t xml:space="preserve">There is also discrepancy when comparing the published fracture conductivity estimate of 300 to 400 </w:t>
      </w:r>
      <w:proofErr w:type="spellStart"/>
      <w:r>
        <w:t>mD</w:t>
      </w:r>
      <w:proofErr w:type="spellEnd"/>
      <w:r>
        <w:t xml:space="preserve">-ft, and </w:t>
      </w:r>
      <w:proofErr w:type="spellStart"/>
      <w:r>
        <w:t>GeoDT’s</w:t>
      </w:r>
      <w:proofErr w:type="spellEnd"/>
      <w:r>
        <w:t xml:space="preserve"> </w:t>
      </w:r>
      <w:r w:rsidR="00BD4793">
        <w:t xml:space="preserve">estimate of 233 </w:t>
      </w:r>
      <w:proofErr w:type="spellStart"/>
      <w:r w:rsidR="00BD4793">
        <w:t>mD</w:t>
      </w:r>
      <w:proofErr w:type="spellEnd"/>
      <w:r w:rsidR="00BD4793">
        <w:t xml:space="preserve">-ft. Our model includes the 7” OD well casing for the injection well and a 5” OD well liner for the production well. </w:t>
      </w:r>
      <w:proofErr w:type="spellStart"/>
      <w:r w:rsidR="00BD4793">
        <w:t>GeoDT</w:t>
      </w:r>
      <w:proofErr w:type="spellEnd"/>
      <w:r w:rsidR="00BD4793">
        <w:t xml:space="preserve"> assumes uniform proppant placement and a square flow area while details for the published values are vague. Meanwhile, it is noted that lower conductivities</w:t>
      </w:r>
      <w:r w:rsidR="007D02B2">
        <w:t xml:space="preserve"> than the published estimate</w:t>
      </w:r>
      <w:r w:rsidR="00BD4793">
        <w:t xml:space="preserve"> are more typically observed.</w:t>
      </w:r>
    </w:p>
    <w:p w14:paraId="4D253BAB" w14:textId="28F95A61" w:rsidR="005D1BFA" w:rsidRDefault="007D02B2" w:rsidP="00152989">
      <w:r>
        <w:lastRenderedPageBreak/>
        <w:t xml:space="preserve">The field data includes injection step-rate tests </w:t>
      </w:r>
      <w:r w:rsidR="0051449F">
        <w:t>that</w:t>
      </w:r>
      <w:r>
        <w:t xml:space="preserve"> we can compare to </w:t>
      </w:r>
      <w:proofErr w:type="spellStart"/>
      <w:r>
        <w:t>GeoDT’s</w:t>
      </w:r>
      <w:proofErr w:type="spellEnd"/>
      <w:r>
        <w:t xml:space="preserve"> history matched scenario</w:t>
      </w:r>
      <w:r w:rsidR="005D1BFA">
        <w:t xml:space="preserve"> (</w:t>
      </w:r>
      <w:r w:rsidR="005D1BFA">
        <w:fldChar w:fldCharType="begin"/>
      </w:r>
      <w:r w:rsidR="005D1BFA">
        <w:instrText xml:space="preserve"> REF _Ref211804864 \h </w:instrText>
      </w:r>
      <w:r w:rsidR="005D1BFA">
        <w:fldChar w:fldCharType="separate"/>
      </w:r>
      <w:r w:rsidR="005D1BFA">
        <w:t xml:space="preserve">Figure </w:t>
      </w:r>
      <w:r w:rsidR="005D1BFA">
        <w:rPr>
          <w:noProof/>
        </w:rPr>
        <w:t>6</w:t>
      </w:r>
      <w:r w:rsidR="005D1BFA">
        <w:fldChar w:fldCharType="end"/>
      </w:r>
      <w:r w:rsidR="005D1BFA">
        <w:t>)</w:t>
      </w:r>
      <w:r>
        <w:t xml:space="preserve">. Here, we vary the circulation injection rate across 100 scenarios and model the pressures that coincide with each rate. Each scenario assumes a full 15-year production cycle at a constant </w:t>
      </w:r>
      <w:r w:rsidR="0051449F">
        <w:t>flow rate.</w:t>
      </w:r>
      <w:r w:rsidR="00E64758">
        <w:t xml:space="preserve"> The linear pressure versus flow rate field data matches well to the model</w:t>
      </w:r>
      <w:r w:rsidR="00152989">
        <w:t xml:space="preserve"> with the pressure loss dominated by flow through the fractured reservoir</w:t>
      </w:r>
      <w:r w:rsidR="00E64758">
        <w:t>.</w:t>
      </w:r>
      <w:r>
        <w:rPr>
          <w:noProof/>
        </w:rPr>
        <w:drawing>
          <wp:inline distT="0" distB="0" distL="0" distR="0" wp14:anchorId="53F7673C" wp14:editId="63677A80">
            <wp:extent cx="5927319" cy="2457907"/>
            <wp:effectExtent l="0" t="0" r="0" b="0"/>
            <wp:docPr id="2073516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9965" cy="2488032"/>
                    </a:xfrm>
                    <a:prstGeom prst="rect">
                      <a:avLst/>
                    </a:prstGeom>
                    <a:noFill/>
                    <a:ln>
                      <a:noFill/>
                    </a:ln>
                  </pic:spPr>
                </pic:pic>
              </a:graphicData>
            </a:graphic>
          </wp:inline>
        </w:drawing>
      </w:r>
    </w:p>
    <w:p w14:paraId="44DBB44B" w14:textId="57CC118E" w:rsidR="002564C0" w:rsidRDefault="00152989" w:rsidP="005D1BFA">
      <w:pPr>
        <w:keepNext/>
      </w:pPr>
      <w:r>
        <w:rPr>
          <w:noProof/>
        </w:rPr>
        <w:drawing>
          <wp:inline distT="0" distB="0" distL="0" distR="0" wp14:anchorId="32994F03" wp14:editId="2B9738B6">
            <wp:extent cx="5934895" cy="1945843"/>
            <wp:effectExtent l="0" t="0" r="8890" b="0"/>
            <wp:docPr id="1657995611"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5611" name="Picture 3" descr="A graph of different colore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7903" cy="1956665"/>
                    </a:xfrm>
                    <a:prstGeom prst="rect">
                      <a:avLst/>
                    </a:prstGeom>
                    <a:noFill/>
                    <a:ln>
                      <a:noFill/>
                    </a:ln>
                  </pic:spPr>
                </pic:pic>
              </a:graphicData>
            </a:graphic>
          </wp:inline>
        </w:drawing>
      </w:r>
      <w:r w:rsidR="00E64758">
        <w:rPr>
          <w:noProof/>
        </w:rPr>
        <w:drawing>
          <wp:inline distT="0" distB="0" distL="0" distR="0" wp14:anchorId="7B0E4B3E" wp14:editId="7895F2F9">
            <wp:extent cx="5930620" cy="2157984"/>
            <wp:effectExtent l="0" t="0" r="0" b="0"/>
            <wp:docPr id="967708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286" cy="2165504"/>
                    </a:xfrm>
                    <a:prstGeom prst="rect">
                      <a:avLst/>
                    </a:prstGeom>
                    <a:noFill/>
                    <a:ln>
                      <a:noFill/>
                    </a:ln>
                  </pic:spPr>
                </pic:pic>
              </a:graphicData>
            </a:graphic>
          </wp:inline>
        </w:drawing>
      </w:r>
    </w:p>
    <w:p w14:paraId="1B1BED43" w14:textId="53D0343C" w:rsidR="00BD4793" w:rsidRDefault="005D1BFA" w:rsidP="005D1BFA">
      <w:pPr>
        <w:pStyle w:val="Caption"/>
      </w:pPr>
      <w:bookmarkStart w:id="8" w:name="_Ref211804864"/>
      <w:r>
        <w:t xml:space="preserve">Figure </w:t>
      </w:r>
      <w:r>
        <w:fldChar w:fldCharType="begin"/>
      </w:r>
      <w:r>
        <w:instrText xml:space="preserve"> SEQ Figure \* ARABIC </w:instrText>
      </w:r>
      <w:r>
        <w:fldChar w:fldCharType="separate"/>
      </w:r>
      <w:r>
        <w:rPr>
          <w:noProof/>
        </w:rPr>
        <w:t>6</w:t>
      </w:r>
      <w:r>
        <w:fldChar w:fldCharType="end"/>
      </w:r>
      <w:bookmarkEnd w:id="8"/>
      <w:r>
        <w:t xml:space="preserve">. </w:t>
      </w:r>
      <w:r w:rsidR="002564C0">
        <w:t>Surface p</w:t>
      </w:r>
      <w:r>
        <w:t>ressures</w:t>
      </w:r>
      <w:r w:rsidR="002564C0">
        <w:t xml:space="preserve"> and forecast production temperature</w:t>
      </w:r>
      <w:r>
        <w:t xml:space="preserve"> as a function of injection rate </w:t>
      </w:r>
      <w:r w:rsidR="002564C0">
        <w:t>at</w:t>
      </w:r>
      <w:r>
        <w:t xml:space="preserve"> Blue Mountain with field data overlay.</w:t>
      </w:r>
      <w:r w:rsidR="002564C0">
        <w:t xml:space="preserve"> Increasing flow rate brings higher parasitic losses and more rapid cooling of the reservoir. An optimum rate will yield peak economics, shown here as a minimum levelized cost of electricity.</w:t>
      </w:r>
    </w:p>
    <w:p w14:paraId="1D19226A" w14:textId="364462FA" w:rsidR="00CE0799" w:rsidRDefault="00152989" w:rsidP="00272F66">
      <w:r>
        <w:lastRenderedPageBreak/>
        <w:t>Curiously</w:t>
      </w:r>
      <w:r w:rsidR="00A76C97">
        <w:t xml:space="preserve">, 11% of the top 50 closest </w:t>
      </w:r>
      <w:r>
        <w:t>Monte-Carlo scenarios (i.e., a-priori performance predictions)</w:t>
      </w:r>
      <w:r w:rsidR="00A76C97">
        <w:t xml:space="preserve"> </w:t>
      </w:r>
      <w:r>
        <w:t xml:space="preserve">give </w:t>
      </w:r>
      <w:r w:rsidR="00A76C97">
        <w:t xml:space="preserve">injection pressure </w:t>
      </w:r>
      <w:r>
        <w:t xml:space="preserve">that </w:t>
      </w:r>
      <w:r w:rsidR="00A76C97">
        <w:t xml:space="preserve">exceeds the hydraulic fracture re-opening </w:t>
      </w:r>
      <w:r>
        <w:t>limit</w:t>
      </w:r>
      <w:r w:rsidR="00A76C97">
        <w:t xml:space="preserve">. The injection pressure was limited to </w:t>
      </w:r>
      <w:proofErr w:type="gramStart"/>
      <w:r w:rsidR="00A76C97">
        <w:t>be</w:t>
      </w:r>
      <w:proofErr w:type="gramEnd"/>
      <w:r w:rsidR="00A76C97">
        <w:t xml:space="preserve"> less than </w:t>
      </w:r>
      <w:r w:rsidR="00A80115">
        <w:t>the estimated</w:t>
      </w:r>
      <w:r w:rsidR="00A76C97">
        <w:t xml:space="preserve"> </w:t>
      </w:r>
      <w:r w:rsidR="00A80115">
        <w:t>fracture opening pressure</w:t>
      </w:r>
      <w:r w:rsidR="00A76C97">
        <w:t xml:space="preserve"> at the field site with very tight tolerances.</w:t>
      </w:r>
      <w:r>
        <w:t xml:space="preserve"> Increased proppant conductivity would help to lower injection pressures. </w:t>
      </w:r>
    </w:p>
    <w:p w14:paraId="34885B36" w14:textId="2B29E478" w:rsidR="00A15B68" w:rsidRDefault="00A15B68" w:rsidP="00272F66">
      <w:r>
        <w:t>The most critical predictions to validate are the long-term flow rates, pressures, and temperatures. A unique match requires a temperature decline of at least 20% because of variability in the data and non-uniqueness for the causes of this decline (e.g., heterogeneity, fracture stranding, and the effect of natural fractures).</w:t>
      </w:r>
      <w:r w:rsidR="009D2844">
        <w:t xml:space="preserve"> P</w:t>
      </w:r>
      <w:r>
        <w:t xml:space="preserve">ublic data for Blue Mountain omits </w:t>
      </w:r>
      <w:r w:rsidR="009D2844">
        <w:t xml:space="preserve">this </w:t>
      </w:r>
      <w:r>
        <w:t xml:space="preserve">key information </w:t>
      </w:r>
      <w:r w:rsidR="009D2844">
        <w:t xml:space="preserve">to inhibit our ability to complete this type of validation </w:t>
      </w:r>
      <w:r w:rsidR="00910471">
        <w:t>(</w:t>
      </w:r>
      <w:r w:rsidR="00910471">
        <w:fldChar w:fldCharType="begin"/>
      </w:r>
      <w:r w:rsidR="00910471">
        <w:instrText xml:space="preserve"> REF _Ref210637455 \h </w:instrText>
      </w:r>
      <w:r w:rsidR="00910471">
        <w:fldChar w:fldCharType="separate"/>
      </w:r>
      <w:r w:rsidR="005D1BFA">
        <w:t xml:space="preserve">Figure </w:t>
      </w:r>
      <w:r w:rsidR="005D1BFA">
        <w:rPr>
          <w:noProof/>
        </w:rPr>
        <w:t>7</w:t>
      </w:r>
      <w:r w:rsidR="00910471">
        <w:fldChar w:fldCharType="end"/>
      </w:r>
      <w:r w:rsidR="00910471">
        <w:t xml:space="preserve">). Target values for history matching exercise </w:t>
      </w:r>
      <w:r w:rsidR="009D2844">
        <w:t xml:space="preserve">ought to </w:t>
      </w:r>
      <w:r w:rsidR="00910471">
        <w:t>us</w:t>
      </w:r>
      <w:r w:rsidR="009D2844">
        <w:t>e</w:t>
      </w:r>
      <w:r w:rsidR="00910471">
        <w:t xml:space="preserve"> average </w:t>
      </w:r>
      <w:r w:rsidR="009D2844">
        <w:t>values</w:t>
      </w:r>
      <w:r w:rsidR="009D2844">
        <w:t xml:space="preserve"> </w:t>
      </w:r>
      <w:r w:rsidR="00910471">
        <w:t>(i.e., not peak), as is appropriat</w:t>
      </w:r>
      <w:r w:rsidR="009D2844">
        <w:t>e</w:t>
      </w:r>
      <w:r w:rsidR="00910471">
        <w:t>.</w:t>
      </w:r>
    </w:p>
    <w:p w14:paraId="6C200C7F" w14:textId="77777777" w:rsidR="00910471" w:rsidRDefault="00910471" w:rsidP="00910471">
      <w:pPr>
        <w:keepNext/>
      </w:pPr>
      <w:r>
        <w:rPr>
          <w:noProof/>
        </w:rPr>
        <w:drawing>
          <wp:inline distT="0" distB="0" distL="0" distR="0" wp14:anchorId="37953FD9" wp14:editId="6C1C048D">
            <wp:extent cx="5931535" cy="1685925"/>
            <wp:effectExtent l="0" t="0" r="0" b="9525"/>
            <wp:docPr id="15213200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1535" cy="1685925"/>
                    </a:xfrm>
                    <a:prstGeom prst="rect">
                      <a:avLst/>
                    </a:prstGeom>
                    <a:noFill/>
                    <a:ln>
                      <a:noFill/>
                    </a:ln>
                  </pic:spPr>
                </pic:pic>
              </a:graphicData>
            </a:graphic>
          </wp:inline>
        </w:drawing>
      </w:r>
    </w:p>
    <w:p w14:paraId="698701DD" w14:textId="2986A422" w:rsidR="00910471" w:rsidRDefault="00910471" w:rsidP="00910471">
      <w:pPr>
        <w:pStyle w:val="Caption"/>
      </w:pPr>
      <w:bookmarkStart w:id="9" w:name="_Ref210637455"/>
      <w:r>
        <w:t xml:space="preserve">Figure </w:t>
      </w:r>
      <w:r>
        <w:fldChar w:fldCharType="begin"/>
      </w:r>
      <w:r>
        <w:instrText xml:space="preserve"> SEQ Figure \* ARABIC </w:instrText>
      </w:r>
      <w:r>
        <w:fldChar w:fldCharType="separate"/>
      </w:r>
      <w:r w:rsidR="005D1BFA">
        <w:rPr>
          <w:noProof/>
        </w:rPr>
        <w:t>7</w:t>
      </w:r>
      <w:r>
        <w:fldChar w:fldCharType="end"/>
      </w:r>
      <w:bookmarkEnd w:id="9"/>
      <w:r>
        <w:t xml:space="preserve">. </w:t>
      </w:r>
      <w:r w:rsidR="001C5604">
        <w:t>While Blue Mountain has arguably the best data for EGS model validation, the p</w:t>
      </w:r>
      <w:r>
        <w:t>ublic</w:t>
      </w:r>
      <w:r w:rsidR="001C5604">
        <w:t xml:space="preserve">ly available </w:t>
      </w:r>
      <w:r>
        <w:t xml:space="preserve">data </w:t>
      </w:r>
      <w:r w:rsidR="00A93D27">
        <w:t xml:space="preserve">omits </w:t>
      </w:r>
      <w:r w:rsidR="001C5604">
        <w:t xml:space="preserve">key </w:t>
      </w:r>
      <w:r w:rsidR="00A93D27">
        <w:t>information</w:t>
      </w:r>
      <w:r w:rsidR="001C5604">
        <w:t xml:space="preserve">. This omission prevents field validation of </w:t>
      </w:r>
      <w:r w:rsidR="00A93D27">
        <w:t xml:space="preserve">production temperature decline </w:t>
      </w:r>
      <w:r w:rsidR="001C5604">
        <w:t>models</w:t>
      </w:r>
      <w:r w:rsidR="00A93D27">
        <w:t>.</w:t>
      </w:r>
    </w:p>
    <w:p w14:paraId="49AA6AEB" w14:textId="34C26AF4" w:rsidR="00A80115" w:rsidRDefault="00910471" w:rsidP="00A80115">
      <w:pPr>
        <w:pStyle w:val="Heading1"/>
      </w:pPr>
      <w:r>
        <w:t>Frontier Observatory for Research in Geothermal Energy Utah (FORGE)</w:t>
      </w:r>
    </w:p>
    <w:p w14:paraId="5DAD313B" w14:textId="21598F21" w:rsidR="00910471" w:rsidRPr="00910471" w:rsidRDefault="00436C89" w:rsidP="00910471">
      <w:r>
        <w:t>[To be completed: Second Sand Propped EGS Site]</w:t>
      </w:r>
    </w:p>
    <w:p w14:paraId="244B8398" w14:textId="3B6FB401" w:rsidR="00A80115" w:rsidRDefault="00436C89" w:rsidP="00436C89">
      <w:pPr>
        <w:pStyle w:val="Heading1"/>
      </w:pPr>
      <w:r>
        <w:t>Fenton Hill Long Term Flow Test (LTFT)</w:t>
      </w:r>
    </w:p>
    <w:p w14:paraId="4B6030D2" w14:textId="20496650" w:rsidR="00436C89" w:rsidRPr="00436C89" w:rsidRDefault="00436C89" w:rsidP="00436C89">
      <w:r>
        <w:t>[To be completed: Hydraulically Propped EGS]</w:t>
      </w:r>
    </w:p>
    <w:p w14:paraId="2758B4FF" w14:textId="40AA91DE" w:rsidR="003B09C6" w:rsidRDefault="003B09C6" w:rsidP="003B09C6">
      <w:pPr>
        <w:pStyle w:val="Heading1"/>
      </w:pPr>
      <w:r>
        <w:t>Additional Information</w:t>
      </w:r>
    </w:p>
    <w:p w14:paraId="37BA3026" w14:textId="5B0438BB" w:rsidR="003B09C6" w:rsidRDefault="003B09C6" w:rsidP="003B09C6">
      <w:r>
        <w:t>For bug reporting and additional information contact the Feynman Center for Innovation at Los Alamos National Laboratory.</w:t>
      </w:r>
    </w:p>
    <w:p w14:paraId="7FD9FC0B" w14:textId="70CABA62" w:rsidR="00D5046A" w:rsidRDefault="00D5046A" w:rsidP="00D5046A">
      <w:pPr>
        <w:pStyle w:val="Heading1"/>
      </w:pPr>
      <w:r>
        <w:t>References</w:t>
      </w:r>
    </w:p>
    <w:p w14:paraId="0F989A43" w14:textId="1DC5CE64" w:rsidR="00D5046A" w:rsidRDefault="00D5046A" w:rsidP="00AB7AD6">
      <w:pPr>
        <w:pStyle w:val="Reference"/>
      </w:pPr>
      <w:r>
        <w:t xml:space="preserve">Frash, L.P. (2021). Geothermal Design Tool (GeoDT). </w:t>
      </w:r>
      <w:r w:rsidRPr="00D5046A">
        <w:t>46th Workshop on Geothermal Reservoir Engineering</w:t>
      </w:r>
      <w:r>
        <w:t>, Stanford, CA, 15-17 Feb.</w:t>
      </w:r>
    </w:p>
    <w:p w14:paraId="305BCAAD" w14:textId="31D5FD72" w:rsidR="00D5046A" w:rsidRDefault="00D5046A" w:rsidP="00AB7AD6">
      <w:pPr>
        <w:pStyle w:val="Reference"/>
      </w:pPr>
      <w:r>
        <w:t xml:space="preserve">Gringarten, A.C., Witherspoon, P.A., Ohnishi. Y. (1975). Theory of Heat Extraction from Fractured Hot Dry Rock. </w:t>
      </w:r>
      <w:r>
        <w:rPr>
          <w:i/>
          <w:iCs/>
        </w:rPr>
        <w:t>Journal of Geophysical Research</w:t>
      </w:r>
      <w:r>
        <w:t>, 80(8): 1120-1124.</w:t>
      </w:r>
    </w:p>
    <w:p w14:paraId="48BEB937" w14:textId="27CF6854" w:rsidR="00F83C06" w:rsidRDefault="00F83C06" w:rsidP="00AB7AD6">
      <w:pPr>
        <w:pStyle w:val="Reference"/>
      </w:pPr>
      <w:r>
        <w:t xml:space="preserve">Norbeck, J.H., Latimer, T.M. (2023). </w:t>
      </w:r>
      <w:r w:rsidRPr="00F83C06">
        <w:t>Commercial-Scale Demonstration of a First-of-a-Kind Enhanced Geothermal System</w:t>
      </w:r>
      <w:r>
        <w:t xml:space="preserve">. </w:t>
      </w:r>
      <w:r>
        <w:rPr>
          <w:i/>
          <w:iCs/>
        </w:rPr>
        <w:t>Earth ArXiv</w:t>
      </w:r>
      <w:r>
        <w:t>.</w:t>
      </w:r>
    </w:p>
    <w:p w14:paraId="79191352" w14:textId="1ED554A7" w:rsidR="008941D7" w:rsidRDefault="008941D7" w:rsidP="00AB7AD6">
      <w:pPr>
        <w:pStyle w:val="Reference"/>
      </w:pPr>
      <w:r>
        <w:t xml:space="preserve">Norbeck, J., Gradl, C., Latimer, T. (2024). </w:t>
      </w:r>
      <w:r w:rsidRPr="008941D7">
        <w:t>Deployment of Enhanced Geothermal System technology leads to rapid cost reductions and performance improvements</w:t>
      </w:r>
      <w:r>
        <w:t xml:space="preserve">. </w:t>
      </w:r>
      <w:r>
        <w:rPr>
          <w:i/>
          <w:iCs/>
        </w:rPr>
        <w:t xml:space="preserve">Earth </w:t>
      </w:r>
      <w:proofErr w:type="spellStart"/>
      <w:r>
        <w:rPr>
          <w:i/>
          <w:iCs/>
        </w:rPr>
        <w:t>ArXiv</w:t>
      </w:r>
      <w:proofErr w:type="spellEnd"/>
      <w:r>
        <w:t>.</w:t>
      </w:r>
    </w:p>
    <w:p w14:paraId="796D5D59" w14:textId="0EE2D753" w:rsidR="007D02B2" w:rsidRDefault="007D02B2" w:rsidP="00AB7AD6">
      <w:pPr>
        <w:pStyle w:val="Reference"/>
      </w:pPr>
      <w:r w:rsidRPr="007D02B2">
        <w:lastRenderedPageBreak/>
        <w:t>Mouin, A., Andrews,</w:t>
      </w:r>
      <w:r>
        <w:t xml:space="preserve"> T.,</w:t>
      </w:r>
      <w:r w:rsidRPr="007D02B2">
        <w:t xml:space="preserve"> Johnston,</w:t>
      </w:r>
      <w:r>
        <w:t xml:space="preserve"> C., </w:t>
      </w:r>
      <w:r w:rsidRPr="007D02B2">
        <w:t>Singh,</w:t>
      </w:r>
      <w:r>
        <w:t xml:space="preserve"> A.,</w:t>
      </w:r>
      <w:r w:rsidRPr="007D02B2">
        <w:t xml:space="preserve"> McClure</w:t>
      </w:r>
      <w:r>
        <w:t>, M</w:t>
      </w:r>
      <w:r w:rsidRPr="007D02B2">
        <w:t xml:space="preserve">. </w:t>
      </w:r>
      <w:r>
        <w:t>(</w:t>
      </w:r>
      <w:r w:rsidRPr="007D02B2">
        <w:t>2023</w:t>
      </w:r>
      <w:r>
        <w:t>)</w:t>
      </w:r>
      <w:r w:rsidRPr="007D02B2">
        <w:t xml:space="preserve">. A new method for interpreting well-to-well interference tests and quantifying the magnitude of production impact: theory and applications in a multi-basin case study. </w:t>
      </w:r>
      <w:r w:rsidRPr="007D02B2">
        <w:rPr>
          <w:i/>
          <w:iCs/>
        </w:rPr>
        <w:t>Geomechanics and Geophysics for Geo-Energy and Geo-Resources</w:t>
      </w:r>
      <w:r>
        <w:t>,</w:t>
      </w:r>
      <w:r w:rsidRPr="007D02B2">
        <w:t xml:space="preserve"> 9 (95).</w:t>
      </w:r>
    </w:p>
    <w:p w14:paraId="33C6CAAA" w14:textId="3DBEE881" w:rsidR="00F83C06" w:rsidRDefault="00AB7AD6" w:rsidP="00AB7AD6">
      <w:pPr>
        <w:pStyle w:val="Reference"/>
      </w:pPr>
      <w:r>
        <w:t xml:space="preserve">White, M., Martinez, M., Vasyliv, Y., Beckers, K., et al. (2023). </w:t>
      </w:r>
      <w:r w:rsidRPr="00AB7AD6">
        <w:t>Closed-loop Geothermal Working Group Study - Understanding Thermal Performance and Economic Forecasts via Numerical Simulation</w:t>
      </w:r>
      <w:r>
        <w:t xml:space="preserve">. </w:t>
      </w:r>
      <w:r w:rsidRPr="00AB7AD6">
        <w:t>48th Workshop on Geothermal Reservoir Engineering</w:t>
      </w:r>
      <w:r>
        <w:t>, Stanford, CA, 6-8 Feb.</w:t>
      </w:r>
    </w:p>
    <w:p w14:paraId="27CB109F" w14:textId="32DB739E" w:rsidR="00AB7AD6" w:rsidRPr="00AB7AD6" w:rsidRDefault="00AB7AD6" w:rsidP="00AB7AD6">
      <w:pPr>
        <w:pStyle w:val="Reference"/>
      </w:pPr>
      <w:r>
        <w:t xml:space="preserve">Fu, P., Knox, H., Schwering, P., Strickland, S., et al. (2023). </w:t>
      </w:r>
      <w:r w:rsidRPr="00AB7AD6">
        <w:t xml:space="preserve">EGS Collab Experiment 1: Circulation Testing Processed </w:t>
      </w:r>
      <w:r>
        <w:t>D</w:t>
      </w:r>
      <w:r w:rsidRPr="00AB7AD6">
        <w:t>ata</w:t>
      </w:r>
      <w:r>
        <w:t xml:space="preserve">. </w:t>
      </w:r>
      <w:r>
        <w:rPr>
          <w:i/>
          <w:iCs/>
        </w:rPr>
        <w:t>Geothermal Data Repository</w:t>
      </w:r>
      <w:r>
        <w:t xml:space="preserve">, </w:t>
      </w:r>
      <w:r w:rsidRPr="00AB7AD6">
        <w:t>https://doi.org/10.15121/1780911</w:t>
      </w:r>
      <w:r>
        <w:t>.</w:t>
      </w:r>
    </w:p>
    <w:sectPr w:rsidR="00AB7AD6" w:rsidRPr="00AB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050"/>
    <w:multiLevelType w:val="hybridMultilevel"/>
    <w:tmpl w:val="91607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65E97"/>
    <w:multiLevelType w:val="hybridMultilevel"/>
    <w:tmpl w:val="1C78A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327046">
    <w:abstractNumId w:val="0"/>
  </w:num>
  <w:num w:numId="2" w16cid:durableId="1307470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35"/>
    <w:rsid w:val="00015B41"/>
    <w:rsid w:val="00032F73"/>
    <w:rsid w:val="00034A41"/>
    <w:rsid w:val="000629C3"/>
    <w:rsid w:val="000C602C"/>
    <w:rsid w:val="0012387A"/>
    <w:rsid w:val="00152989"/>
    <w:rsid w:val="001733CA"/>
    <w:rsid w:val="001C5604"/>
    <w:rsid w:val="001F4825"/>
    <w:rsid w:val="00210461"/>
    <w:rsid w:val="00217A40"/>
    <w:rsid w:val="002315E3"/>
    <w:rsid w:val="002409C2"/>
    <w:rsid w:val="002564C0"/>
    <w:rsid w:val="00272178"/>
    <w:rsid w:val="00272F66"/>
    <w:rsid w:val="002E050B"/>
    <w:rsid w:val="00311AA5"/>
    <w:rsid w:val="003504C1"/>
    <w:rsid w:val="003B09C6"/>
    <w:rsid w:val="003B69E5"/>
    <w:rsid w:val="003B6B2F"/>
    <w:rsid w:val="003C28B8"/>
    <w:rsid w:val="003C2BA8"/>
    <w:rsid w:val="00436C89"/>
    <w:rsid w:val="00496B75"/>
    <w:rsid w:val="004A5796"/>
    <w:rsid w:val="004F12E6"/>
    <w:rsid w:val="0051449F"/>
    <w:rsid w:val="0053411B"/>
    <w:rsid w:val="00534237"/>
    <w:rsid w:val="005A2676"/>
    <w:rsid w:val="005D1BFA"/>
    <w:rsid w:val="005D6D9C"/>
    <w:rsid w:val="006255CD"/>
    <w:rsid w:val="00653D80"/>
    <w:rsid w:val="0068575F"/>
    <w:rsid w:val="006B2909"/>
    <w:rsid w:val="006B7349"/>
    <w:rsid w:val="00720144"/>
    <w:rsid w:val="00735326"/>
    <w:rsid w:val="00757989"/>
    <w:rsid w:val="007603C7"/>
    <w:rsid w:val="007654B0"/>
    <w:rsid w:val="00784DC6"/>
    <w:rsid w:val="007B057D"/>
    <w:rsid w:val="007C09C6"/>
    <w:rsid w:val="007D02B2"/>
    <w:rsid w:val="007E5428"/>
    <w:rsid w:val="00836F6A"/>
    <w:rsid w:val="00841070"/>
    <w:rsid w:val="0084441B"/>
    <w:rsid w:val="00873D1F"/>
    <w:rsid w:val="008941D7"/>
    <w:rsid w:val="00894BA9"/>
    <w:rsid w:val="008C291B"/>
    <w:rsid w:val="008C7D4A"/>
    <w:rsid w:val="008E59C2"/>
    <w:rsid w:val="00910471"/>
    <w:rsid w:val="00914935"/>
    <w:rsid w:val="00924015"/>
    <w:rsid w:val="009566F3"/>
    <w:rsid w:val="00960A41"/>
    <w:rsid w:val="009A31D6"/>
    <w:rsid w:val="009B6C15"/>
    <w:rsid w:val="009D2844"/>
    <w:rsid w:val="00A15B68"/>
    <w:rsid w:val="00A463D6"/>
    <w:rsid w:val="00A76C97"/>
    <w:rsid w:val="00A80115"/>
    <w:rsid w:val="00A93D27"/>
    <w:rsid w:val="00A96AED"/>
    <w:rsid w:val="00AA2DC7"/>
    <w:rsid w:val="00AA6825"/>
    <w:rsid w:val="00AB7AD6"/>
    <w:rsid w:val="00B05AA6"/>
    <w:rsid w:val="00B37B7D"/>
    <w:rsid w:val="00B67F36"/>
    <w:rsid w:val="00BD4793"/>
    <w:rsid w:val="00C0099F"/>
    <w:rsid w:val="00C1488B"/>
    <w:rsid w:val="00C446B6"/>
    <w:rsid w:val="00CC5370"/>
    <w:rsid w:val="00CC645D"/>
    <w:rsid w:val="00CE0799"/>
    <w:rsid w:val="00D2126A"/>
    <w:rsid w:val="00D266D3"/>
    <w:rsid w:val="00D375AD"/>
    <w:rsid w:val="00D41B5C"/>
    <w:rsid w:val="00D5046A"/>
    <w:rsid w:val="00D51010"/>
    <w:rsid w:val="00D80B69"/>
    <w:rsid w:val="00D93A0D"/>
    <w:rsid w:val="00DE2E4D"/>
    <w:rsid w:val="00E46561"/>
    <w:rsid w:val="00E52207"/>
    <w:rsid w:val="00E64758"/>
    <w:rsid w:val="00ED2D4C"/>
    <w:rsid w:val="00ED5D9B"/>
    <w:rsid w:val="00EE4913"/>
    <w:rsid w:val="00F21CF5"/>
    <w:rsid w:val="00F554DB"/>
    <w:rsid w:val="00F83C06"/>
    <w:rsid w:val="00FA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3C3D"/>
  <w15:chartTrackingRefBased/>
  <w15:docId w15:val="{D2A50BB0-DFA3-4981-BF1A-F6B3C047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935"/>
    <w:rPr>
      <w:rFonts w:ascii="Aptos" w:hAnsi="Aptos"/>
    </w:rPr>
  </w:style>
  <w:style w:type="paragraph" w:styleId="Heading1">
    <w:name w:val="heading 1"/>
    <w:basedOn w:val="Normal"/>
    <w:next w:val="Normal"/>
    <w:link w:val="Heading1Char"/>
    <w:uiPriority w:val="9"/>
    <w:qFormat/>
    <w:rsid w:val="00015B41"/>
    <w:pPr>
      <w:keepNext/>
      <w:keepLines/>
      <w:spacing w:after="120"/>
      <w:outlineLvl w:val="0"/>
    </w:pPr>
    <w:rPr>
      <w:rFonts w:eastAsiaTheme="majorEastAsia" w:cstheme="majorBidi"/>
      <w:b/>
      <w:color w:val="B14625"/>
      <w:szCs w:val="40"/>
    </w:rPr>
  </w:style>
  <w:style w:type="paragraph" w:styleId="Heading2">
    <w:name w:val="heading 2"/>
    <w:basedOn w:val="Normal"/>
    <w:next w:val="Normal"/>
    <w:link w:val="Heading2Char"/>
    <w:uiPriority w:val="9"/>
    <w:unhideWhenUsed/>
    <w:qFormat/>
    <w:rsid w:val="002315E3"/>
    <w:pPr>
      <w:keepNext/>
      <w:keepLines/>
      <w:spacing w:before="160" w:after="80"/>
      <w:outlineLvl w:val="1"/>
    </w:pPr>
    <w:rPr>
      <w:rFonts w:asciiTheme="majorHAnsi" w:eastAsiaTheme="majorEastAsia" w:hAnsiTheme="majorHAnsi" w:cstheme="majorBidi"/>
      <w:i/>
      <w:color w:val="B14625"/>
      <w:szCs w:val="32"/>
    </w:rPr>
  </w:style>
  <w:style w:type="paragraph" w:styleId="Heading3">
    <w:name w:val="heading 3"/>
    <w:basedOn w:val="Normal"/>
    <w:next w:val="Normal"/>
    <w:link w:val="Heading3Char"/>
    <w:uiPriority w:val="9"/>
    <w:semiHidden/>
    <w:unhideWhenUsed/>
    <w:qFormat/>
    <w:rsid w:val="0091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B41"/>
    <w:rPr>
      <w:rFonts w:ascii="Aptos" w:eastAsiaTheme="majorEastAsia" w:hAnsi="Aptos" w:cstheme="majorBidi"/>
      <w:b/>
      <w:color w:val="B14625"/>
      <w:szCs w:val="40"/>
    </w:rPr>
  </w:style>
  <w:style w:type="character" w:customStyle="1" w:styleId="Heading2Char">
    <w:name w:val="Heading 2 Char"/>
    <w:basedOn w:val="DefaultParagraphFont"/>
    <w:link w:val="Heading2"/>
    <w:uiPriority w:val="9"/>
    <w:rsid w:val="002315E3"/>
    <w:rPr>
      <w:rFonts w:asciiTheme="majorHAnsi" w:eastAsiaTheme="majorEastAsia" w:hAnsiTheme="majorHAnsi" w:cstheme="majorBidi"/>
      <w:i/>
      <w:color w:val="B14625"/>
      <w:szCs w:val="32"/>
    </w:rPr>
  </w:style>
  <w:style w:type="character" w:customStyle="1" w:styleId="Heading3Char">
    <w:name w:val="Heading 3 Char"/>
    <w:basedOn w:val="DefaultParagraphFont"/>
    <w:link w:val="Heading3"/>
    <w:uiPriority w:val="9"/>
    <w:semiHidden/>
    <w:rsid w:val="0091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35"/>
    <w:rPr>
      <w:rFonts w:eastAsiaTheme="majorEastAsia" w:cstheme="majorBidi"/>
      <w:color w:val="272727" w:themeColor="text1" w:themeTint="D8"/>
    </w:rPr>
  </w:style>
  <w:style w:type="paragraph" w:styleId="Title">
    <w:name w:val="Title"/>
    <w:basedOn w:val="Normal"/>
    <w:next w:val="Normal"/>
    <w:link w:val="TitleChar"/>
    <w:uiPriority w:val="10"/>
    <w:qFormat/>
    <w:rsid w:val="0091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35"/>
    <w:pPr>
      <w:spacing w:before="160"/>
      <w:jc w:val="center"/>
    </w:pPr>
    <w:rPr>
      <w:i/>
      <w:iCs/>
      <w:color w:val="404040" w:themeColor="text1" w:themeTint="BF"/>
    </w:rPr>
  </w:style>
  <w:style w:type="character" w:customStyle="1" w:styleId="QuoteChar">
    <w:name w:val="Quote Char"/>
    <w:basedOn w:val="DefaultParagraphFont"/>
    <w:link w:val="Quote"/>
    <w:uiPriority w:val="29"/>
    <w:rsid w:val="00914935"/>
    <w:rPr>
      <w:i/>
      <w:iCs/>
      <w:color w:val="404040" w:themeColor="text1" w:themeTint="BF"/>
    </w:rPr>
  </w:style>
  <w:style w:type="paragraph" w:styleId="ListParagraph">
    <w:name w:val="List Paragraph"/>
    <w:basedOn w:val="Normal"/>
    <w:uiPriority w:val="34"/>
    <w:qFormat/>
    <w:rsid w:val="00914935"/>
    <w:pPr>
      <w:ind w:left="720"/>
      <w:contextualSpacing/>
    </w:pPr>
  </w:style>
  <w:style w:type="character" w:styleId="IntenseEmphasis">
    <w:name w:val="Intense Emphasis"/>
    <w:basedOn w:val="DefaultParagraphFont"/>
    <w:uiPriority w:val="21"/>
    <w:qFormat/>
    <w:rsid w:val="00914935"/>
    <w:rPr>
      <w:i/>
      <w:iCs/>
      <w:color w:val="0F4761" w:themeColor="accent1" w:themeShade="BF"/>
    </w:rPr>
  </w:style>
  <w:style w:type="paragraph" w:styleId="IntenseQuote">
    <w:name w:val="Intense Quote"/>
    <w:basedOn w:val="Normal"/>
    <w:next w:val="Normal"/>
    <w:link w:val="IntenseQuoteChar"/>
    <w:uiPriority w:val="30"/>
    <w:qFormat/>
    <w:rsid w:val="0091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935"/>
    <w:rPr>
      <w:i/>
      <w:iCs/>
      <w:color w:val="0F4761" w:themeColor="accent1" w:themeShade="BF"/>
    </w:rPr>
  </w:style>
  <w:style w:type="character" w:styleId="IntenseReference">
    <w:name w:val="Intense Reference"/>
    <w:basedOn w:val="DefaultParagraphFont"/>
    <w:uiPriority w:val="32"/>
    <w:qFormat/>
    <w:rsid w:val="00914935"/>
    <w:rPr>
      <w:b/>
      <w:bCs/>
      <w:smallCaps/>
      <w:color w:val="0F4761" w:themeColor="accent1" w:themeShade="BF"/>
      <w:spacing w:val="5"/>
    </w:rPr>
  </w:style>
  <w:style w:type="table" w:styleId="TableGrid">
    <w:name w:val="Table Grid"/>
    <w:basedOn w:val="TableNormal"/>
    <w:uiPriority w:val="39"/>
    <w:rsid w:val="003B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A0CCD"/>
    <w:rPr>
      <w:color w:val="467886"/>
      <w:u w:val="single"/>
    </w:rPr>
  </w:style>
  <w:style w:type="character" w:styleId="FollowedHyperlink">
    <w:name w:val="FollowedHyperlink"/>
    <w:basedOn w:val="DefaultParagraphFont"/>
    <w:uiPriority w:val="99"/>
    <w:semiHidden/>
    <w:unhideWhenUsed/>
    <w:rsid w:val="00FA0CCD"/>
    <w:rPr>
      <w:color w:val="96607D"/>
      <w:u w:val="single"/>
    </w:rPr>
  </w:style>
  <w:style w:type="paragraph" w:customStyle="1" w:styleId="msonormal0">
    <w:name w:val="msonormal"/>
    <w:basedOn w:val="Normal"/>
    <w:rsid w:val="00FA0C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7">
    <w:name w:val="xl67"/>
    <w:basedOn w:val="Normal"/>
    <w:rsid w:val="00FA0CCD"/>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D51010"/>
    <w:pPr>
      <w:spacing w:after="200" w:line="240" w:lineRule="auto"/>
    </w:pPr>
    <w:rPr>
      <w:i/>
      <w:iCs/>
      <w:sz w:val="18"/>
      <w:szCs w:val="18"/>
    </w:rPr>
  </w:style>
  <w:style w:type="paragraph" w:customStyle="1" w:styleId="Reference">
    <w:name w:val="Reference"/>
    <w:basedOn w:val="Normal"/>
    <w:qFormat/>
    <w:rsid w:val="00AB7AD6"/>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0351">
      <w:bodyDiv w:val="1"/>
      <w:marLeft w:val="0"/>
      <w:marRight w:val="0"/>
      <w:marTop w:val="0"/>
      <w:marBottom w:val="0"/>
      <w:divBdr>
        <w:top w:val="none" w:sz="0" w:space="0" w:color="auto"/>
        <w:left w:val="none" w:sz="0" w:space="0" w:color="auto"/>
        <w:bottom w:val="none" w:sz="0" w:space="0" w:color="auto"/>
        <w:right w:val="none" w:sz="0" w:space="0" w:color="auto"/>
      </w:divBdr>
    </w:div>
    <w:div w:id="1123696446">
      <w:bodyDiv w:val="1"/>
      <w:marLeft w:val="0"/>
      <w:marRight w:val="0"/>
      <w:marTop w:val="0"/>
      <w:marBottom w:val="0"/>
      <w:divBdr>
        <w:top w:val="none" w:sz="0" w:space="0" w:color="auto"/>
        <w:left w:val="none" w:sz="0" w:space="0" w:color="auto"/>
        <w:bottom w:val="none" w:sz="0" w:space="0" w:color="auto"/>
        <w:right w:val="none" w:sz="0" w:space="0" w:color="auto"/>
      </w:divBdr>
    </w:div>
    <w:div w:id="139520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B579-4194-4B2E-A1E8-99CAF742F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27934</TotalTime>
  <Pages>10</Pages>
  <Words>2702</Words>
  <Characters>15272</Characters>
  <Application>Microsoft Office Word</Application>
  <DocSecurity>0</DocSecurity>
  <Lines>664</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Frash</dc:creator>
  <cp:keywords/>
  <dc:description/>
  <cp:lastModifiedBy>Luke Frash</cp:lastModifiedBy>
  <cp:revision>12</cp:revision>
  <dcterms:created xsi:type="dcterms:W3CDTF">2024-09-06T15:54:00Z</dcterms:created>
  <dcterms:modified xsi:type="dcterms:W3CDTF">2025-10-22T13:43:00Z</dcterms:modified>
</cp:coreProperties>
</file>