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62A61" w14:textId="30AD2CE6" w:rsidR="00850BDB" w:rsidRDefault="00464D7D" w:rsidP="00464D7D">
      <w:pPr>
        <w:pStyle w:val="Title"/>
        <w:jc w:val="center"/>
      </w:pPr>
      <w:r>
        <w:t>Investigation of NH3-DME-Air Combustion</w:t>
      </w:r>
    </w:p>
    <w:p w14:paraId="62568072" w14:textId="03D0DF97" w:rsidR="00464D7D" w:rsidRDefault="00464D7D" w:rsidP="00464D7D">
      <w:pPr>
        <w:pStyle w:val="Subtitle"/>
        <w:jc w:val="center"/>
      </w:pPr>
      <w:r>
        <w:t>Logan Freeman</w:t>
      </w:r>
    </w:p>
    <w:p w14:paraId="48FDD594" w14:textId="42B48DB5" w:rsidR="00464D7D" w:rsidRDefault="00464D7D" w:rsidP="00464D7D">
      <w:pPr>
        <w:pStyle w:val="Subtitle"/>
        <w:jc w:val="center"/>
      </w:pPr>
      <w:r>
        <w:t>4/17/25</w:t>
      </w:r>
    </w:p>
    <w:p w14:paraId="1FEB32C9" w14:textId="152BC3BE" w:rsidR="005C5749" w:rsidRDefault="005C5749" w:rsidP="005C5749">
      <w:pPr>
        <w:pStyle w:val="Heading2"/>
      </w:pPr>
      <w:r>
        <w:t>Question 1</w:t>
      </w:r>
    </w:p>
    <w:p w14:paraId="4874AC21" w14:textId="62E25531" w:rsidR="0000455F" w:rsidRDefault="00464D7D" w:rsidP="0000455F">
      <w:r>
        <w:t>This study will investigate the combustion of an ammonia</w:t>
      </w:r>
      <w:r w:rsidR="0000455F">
        <w:t xml:space="preserve"> </w:t>
      </w:r>
      <w:r>
        <w:t xml:space="preserve">-air mixture. </w:t>
      </w:r>
      <w:r w:rsidR="0000455F">
        <w:t xml:space="preserve">The </w:t>
      </w:r>
      <w:r w:rsidR="00722901">
        <w:t xml:space="preserve">stochiometric </w:t>
      </w:r>
      <w:r w:rsidR="0000455F">
        <w:t>reaction is given by:</w:t>
      </w:r>
    </w:p>
    <w:p w14:paraId="072BB1DD" w14:textId="0BE6FA62" w:rsidR="0000455F" w:rsidRPr="00722901" w:rsidRDefault="00722901" w:rsidP="0000455F">
      <m:oMathPara>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m:rPr>
                  <m:sty m:val="p"/>
                </m:rPr>
                <w:rPr>
                  <w:rFonts w:ascii="Cambria Math" w:hAnsi="Cambria Math"/>
                </w:rPr>
                <m:t>3</m:t>
              </m:r>
            </m:num>
            <m:den>
              <m:r>
                <m:rPr>
                  <m:sty m:val="p"/>
                </m:rPr>
                <w:rPr>
                  <w:rFonts w:ascii="Cambria Math" w:hAnsi="Cambria Math"/>
                </w:rPr>
                <m:t>4</m:t>
              </m:r>
            </m:den>
          </m:f>
          <m:d>
            <m:dPr>
              <m:ctrlPr>
                <w:rPr>
                  <w:rFonts w:ascii="Cambria Math" w:hAnsi="Cambria Math"/>
                </w:rPr>
              </m:ctrlPr>
            </m:dPr>
            <m:e>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+3.76</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2</m:t>
                  </m:r>
                </m:sub>
              </m:sSub>
            </m:e>
          </m:d>
          <m:r>
            <m:rPr>
              <m:sty m:val="p"/>
            </m:rPr>
            <w:rPr>
              <w:rFonts w:ascii="Cambria Math" w:hAnsi="Cambria Math"/>
            </w:rPr>
            <m:t>→ 1.5</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m:rPr>
                  <m:sty m:val="p"/>
                </m:rPr>
                <w:rPr>
                  <w:rFonts w:ascii="Cambria Math" w:hAnsi="Cambria Math"/>
                </w:rPr>
                <m:t>0.5+3*</m:t>
              </m:r>
              <m:f>
                <m:fPr>
                  <m:ctrlPr>
                    <w:rPr>
                      <w:rFonts w:ascii="Cambria Math" w:hAnsi="Cambria Math"/>
                    </w:rPr>
                  </m:ctrlPr>
                </m:fPr>
                <m:num>
                  <m:r>
                    <m:rPr>
                      <m:sty m:val="p"/>
                    </m:rPr>
                    <w:rPr>
                      <w:rFonts w:ascii="Cambria Math" w:hAnsi="Cambria Math"/>
                    </w:rPr>
                    <m:t>3.76</m:t>
                  </m:r>
                </m:num>
                <m:den>
                  <m:r>
                    <m:rPr>
                      <m:sty m:val="p"/>
                    </m:rPr>
                    <w:rPr>
                      <w:rFonts w:ascii="Cambria Math" w:hAnsi="Cambria Math"/>
                    </w:rPr>
                    <m:t>4</m:t>
                  </m:r>
                </m:den>
              </m:f>
              <m:ctrlPr>
                <w:rPr>
                  <w:rFonts w:ascii="Cambria Math" w:eastAsiaTheme="minorEastAsia" w:hAnsi="Cambria Math"/>
                </w:rPr>
              </m:ctrlPr>
            </m:e>
          </m:d>
          <m:sSub>
            <m:sSubPr>
              <m:ctrlPr>
                <w:rPr>
                  <w:rFonts w:ascii="Cambria Math" w:eastAsiaTheme="minorEastAsia" w:hAnsi="Cambria Math"/>
                </w:rPr>
              </m:ctrlPr>
            </m:sSubPr>
            <m:e>
              <m:r>
                <m:rPr>
                  <m:sty m:val="p"/>
                </m:rPr>
                <w:rPr>
                  <w:rFonts w:ascii="Cambria Math" w:eastAsiaTheme="minorEastAsia" w:hAnsi="Cambria Math"/>
                </w:rPr>
                <m:t>N</m:t>
              </m:r>
            </m:e>
            <m:sub>
              <m:r>
                <m:rPr>
                  <m:sty m:val="p"/>
                </m:rPr>
                <w:rPr>
                  <w:rFonts w:ascii="Cambria Math" w:eastAsiaTheme="minorEastAsia" w:hAnsi="Cambria Math"/>
                </w:rPr>
                <m:t>2</m:t>
              </m:r>
            </m:sub>
          </m:sSub>
        </m:oMath>
      </m:oMathPara>
    </w:p>
    <w:p w14:paraId="1701A388" w14:textId="4063028E" w:rsidR="00735AE4" w:rsidRDefault="00286C7A" w:rsidP="00464D7D">
      <w:pPr>
        <w:rPr>
          <w:iCs/>
        </w:rPr>
      </w:pPr>
      <w:r>
        <w:rPr>
          <w:iCs/>
        </w:rPr>
        <w:t xml:space="preserve">The kinetic model is </w:t>
      </w:r>
      <w:r w:rsidR="00735AE4">
        <w:rPr>
          <w:iCs/>
        </w:rPr>
        <w:t>the San Diego model. This detailed chemical mechanism has been developed over 25+ years. Detailed Nitrogen models were added in 2003. [1]</w:t>
      </w:r>
      <w:r w:rsidR="0035188B">
        <w:rPr>
          <w:iCs/>
        </w:rPr>
        <w:t xml:space="preserve"> </w:t>
      </w:r>
    </w:p>
    <w:p w14:paraId="2BFBB222" w14:textId="1D246223" w:rsidR="0035188B" w:rsidRDefault="0035188B" w:rsidP="00464D7D">
      <w:pPr>
        <w:rPr>
          <w:iCs/>
        </w:rPr>
      </w:pPr>
      <w:r>
        <w:rPr>
          <w:iCs/>
        </w:rPr>
        <w:t xml:space="preserve">Some comparisons are made against </w:t>
      </w:r>
      <w:r w:rsidR="000C4C10">
        <w:rPr>
          <w:iCs/>
        </w:rPr>
        <w:t xml:space="preserve">experimental results obtained by Takizawa et al. [2]. Takizawa et al. obtained results by the SV </w:t>
      </w:r>
      <w:r w:rsidR="005C5749">
        <w:rPr>
          <w:iCs/>
        </w:rPr>
        <w:t xml:space="preserve">(Spherical Vessel) </w:t>
      </w:r>
      <w:r w:rsidR="000C4C10">
        <w:rPr>
          <w:iCs/>
        </w:rPr>
        <w:t xml:space="preserve">method, the SP </w:t>
      </w:r>
      <w:r w:rsidR="005C5749">
        <w:rPr>
          <w:iCs/>
        </w:rPr>
        <w:t xml:space="preserve">(Schlieren Photography) </w:t>
      </w:r>
      <w:r w:rsidR="000C4C10">
        <w:rPr>
          <w:iCs/>
        </w:rPr>
        <w:t xml:space="preserve">method, closed vessels in microgravity and earth gravity, and a vertical tube. </w:t>
      </w:r>
      <w:r w:rsidR="005C5749">
        <w:rPr>
          <w:iCs/>
        </w:rPr>
        <w:t xml:space="preserve">In this report, the SV and SP results are considered. </w:t>
      </w:r>
      <w:r w:rsidR="000C4C10">
        <w:rPr>
          <w:iCs/>
        </w:rPr>
        <w:t xml:space="preserve"> </w:t>
      </w:r>
      <w:r w:rsidR="005C5749">
        <w:rPr>
          <w:iCs/>
        </w:rPr>
        <w:t>Spherical flame propagation is used and the SV method measures changes in pressure, while the SP method optically measures the flame velocity.</w:t>
      </w:r>
    </w:p>
    <w:p w14:paraId="78B4AB58" w14:textId="6CDF1A37" w:rsidR="005C5749" w:rsidRDefault="005C5749" w:rsidP="005C5749">
      <w:pPr>
        <w:pStyle w:val="Heading2"/>
      </w:pPr>
      <w:r>
        <w:t>Question 2</w:t>
      </w:r>
      <w:r w:rsidR="006B5549">
        <w:t xml:space="preserve"> &amp; 3</w:t>
      </w:r>
    </w:p>
    <w:p w14:paraId="72A2E9E7" w14:textId="28F9CDE1" w:rsidR="006B5549" w:rsidRDefault="005C5749" w:rsidP="006B5549">
      <w:pPr>
        <w:tabs>
          <w:tab w:val="left" w:pos="5910"/>
        </w:tabs>
      </w:pPr>
      <w:r>
        <w:t xml:space="preserve">The laminar flame speed is studied with Cantera. The </w:t>
      </w:r>
      <w:r w:rsidR="006B5549">
        <w:t xml:space="preserve">flame speed at default conditions of T=300K, P=1atm, and equivalence ratio of 1 is 6.74cm/s. This agrees well with the SV and SP experimental results [2]. </w:t>
      </w:r>
    </w:p>
    <w:p w14:paraId="6BD91917" w14:textId="77777777" w:rsidR="006B5549" w:rsidRDefault="006B5549" w:rsidP="006B5549">
      <w:pPr>
        <w:tabs>
          <w:tab w:val="left" w:pos="5910"/>
        </w:tabs>
      </w:pPr>
    </w:p>
    <w:p w14:paraId="6D5140FE" w14:textId="22FE7B47" w:rsidR="006B5549" w:rsidRDefault="006B5549" w:rsidP="006B5549">
      <w:pPr>
        <w:tabs>
          <w:tab w:val="left" w:pos="5910"/>
        </w:tabs>
        <w:jc w:val="center"/>
      </w:pPr>
      <w:r>
        <w:rPr>
          <w:noProof/>
        </w:rPr>
        <w:lastRenderedPageBreak/>
        <w:drawing>
          <wp:inline distT="0" distB="0" distL="0" distR="0" wp14:anchorId="61D17B36" wp14:editId="6DE27B65">
            <wp:extent cx="4757738" cy="3171825"/>
            <wp:effectExtent l="0" t="0" r="5080" b="0"/>
            <wp:docPr id="114782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1015" cy="3174010"/>
                    </a:xfrm>
                    <a:prstGeom prst="rect">
                      <a:avLst/>
                    </a:prstGeom>
                    <a:noFill/>
                    <a:ln>
                      <a:noFill/>
                    </a:ln>
                  </pic:spPr>
                </pic:pic>
              </a:graphicData>
            </a:graphic>
          </wp:inline>
        </w:drawing>
      </w:r>
    </w:p>
    <w:p w14:paraId="600CC76B" w14:textId="03BAFD03" w:rsidR="006B5549" w:rsidRDefault="006B5549" w:rsidP="006B5549">
      <w:pPr>
        <w:tabs>
          <w:tab w:val="left" w:pos="5910"/>
        </w:tabs>
        <w:jc w:val="center"/>
        <w:rPr>
          <w:b/>
          <w:bCs/>
        </w:rPr>
      </w:pPr>
      <w:r>
        <w:rPr>
          <w:b/>
          <w:bCs/>
        </w:rPr>
        <w:t>Figure 1: Temperature dependence of laminar flame speed</w:t>
      </w:r>
    </w:p>
    <w:p w14:paraId="090A155D" w14:textId="08733297" w:rsidR="005C5749" w:rsidRDefault="006B5549" w:rsidP="006B5549">
      <w:pPr>
        <w:tabs>
          <w:tab w:val="left" w:pos="5910"/>
        </w:tabs>
      </w:pPr>
      <w:r>
        <w:t>The dependence of the laminar flame speed on temperature is positive and superlinear. This result is expected, since for a higher unburned gas temperature there is more energy, which translates to a higher flame velocity.  Specifically, less energy is required to ignite the gas, so more energy is available to accelerate the flow.</w:t>
      </w:r>
    </w:p>
    <w:p w14:paraId="33D43CC1" w14:textId="5A6A8716" w:rsidR="006B5549" w:rsidRDefault="006B5549" w:rsidP="006B5549">
      <w:pPr>
        <w:tabs>
          <w:tab w:val="left" w:pos="5910"/>
        </w:tabs>
        <w:jc w:val="center"/>
      </w:pPr>
      <w:r>
        <w:rPr>
          <w:noProof/>
        </w:rPr>
        <w:drawing>
          <wp:inline distT="0" distB="0" distL="0" distR="0" wp14:anchorId="47BF8AF7" wp14:editId="018B9A36">
            <wp:extent cx="4724400" cy="3149600"/>
            <wp:effectExtent l="0" t="0" r="0" b="0"/>
            <wp:docPr id="163511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24400" cy="3149600"/>
                    </a:xfrm>
                    <a:prstGeom prst="rect">
                      <a:avLst/>
                    </a:prstGeom>
                    <a:noFill/>
                    <a:ln>
                      <a:noFill/>
                    </a:ln>
                  </pic:spPr>
                </pic:pic>
              </a:graphicData>
            </a:graphic>
          </wp:inline>
        </w:drawing>
      </w:r>
    </w:p>
    <w:p w14:paraId="32A9CEF0" w14:textId="3411D49A" w:rsidR="006B5549" w:rsidRDefault="006B5549" w:rsidP="006B5549">
      <w:pPr>
        <w:tabs>
          <w:tab w:val="left" w:pos="5910"/>
        </w:tabs>
        <w:jc w:val="center"/>
        <w:rPr>
          <w:b/>
          <w:bCs/>
        </w:rPr>
      </w:pPr>
      <w:r>
        <w:rPr>
          <w:b/>
          <w:bCs/>
        </w:rPr>
        <w:t>Figure 2: Pressure dependence of laminar flame speed</w:t>
      </w:r>
    </w:p>
    <w:p w14:paraId="02E9A935" w14:textId="7DD82F92" w:rsidR="006B5549" w:rsidRDefault="006B5549" w:rsidP="006B5549">
      <w:pPr>
        <w:tabs>
          <w:tab w:val="left" w:pos="5910"/>
        </w:tabs>
      </w:pPr>
      <w:r>
        <w:lastRenderedPageBreak/>
        <w:t>The dependence of the laminar flame speed on pressure is negative.</w:t>
      </w:r>
      <w:r w:rsidR="000A1D3A">
        <w:t xml:space="preserve"> These results are at a constant temperature of 300K, so the density is higher.  The inverse exponential pressure dependence was also observed by Zhang et al. for CH4 flames [3]. The suggested mechanism of the pressure dependence is that increased pressure has a stabilizing effect on the combustion.</w:t>
      </w:r>
    </w:p>
    <w:p w14:paraId="1C4A7ADC" w14:textId="74907B3B" w:rsidR="000A1D3A" w:rsidRDefault="000A1D3A" w:rsidP="000A1D3A">
      <w:pPr>
        <w:tabs>
          <w:tab w:val="left" w:pos="5910"/>
        </w:tabs>
        <w:jc w:val="center"/>
      </w:pPr>
      <w:r>
        <w:rPr>
          <w:noProof/>
        </w:rPr>
        <w:drawing>
          <wp:inline distT="0" distB="0" distL="0" distR="0" wp14:anchorId="0F283237" wp14:editId="366FA818">
            <wp:extent cx="5486400" cy="3657600"/>
            <wp:effectExtent l="0" t="0" r="0" b="0"/>
            <wp:docPr id="992873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1EB133F" w14:textId="76FC1A0B" w:rsidR="000A1D3A" w:rsidRDefault="000A1D3A" w:rsidP="000A1D3A">
      <w:pPr>
        <w:tabs>
          <w:tab w:val="left" w:pos="5910"/>
        </w:tabs>
        <w:jc w:val="center"/>
        <w:rPr>
          <w:b/>
          <w:bCs/>
        </w:rPr>
      </w:pPr>
      <w:r>
        <w:rPr>
          <w:b/>
          <w:bCs/>
        </w:rPr>
        <w:t>Figure 3: Equivalence ratio dependence of laminar flame speed</w:t>
      </w:r>
    </w:p>
    <w:p w14:paraId="75D1648A" w14:textId="60A7DF37" w:rsidR="005417F7" w:rsidRDefault="005417F7" w:rsidP="000A1D3A">
      <w:pPr>
        <w:tabs>
          <w:tab w:val="left" w:pos="5910"/>
        </w:tabs>
        <w:jc w:val="center"/>
        <w:rPr>
          <w:b/>
          <w:bCs/>
        </w:rPr>
      </w:pPr>
      <w:r w:rsidRPr="005417F7">
        <w:rPr>
          <w:b/>
          <w:bCs/>
        </w:rPr>
        <w:lastRenderedPageBreak/>
        <w:drawing>
          <wp:inline distT="0" distB="0" distL="0" distR="0" wp14:anchorId="232B2BC1" wp14:editId="4D9F8FBD">
            <wp:extent cx="4320954" cy="4048125"/>
            <wp:effectExtent l="0" t="0" r="3810" b="0"/>
            <wp:docPr id="1567029718" name="Picture 1" descr="Chart, scatte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029718" name="Picture 1" descr="Chart, scatter chart&#10;&#10;AI-generated content may be incorrect."/>
                    <pic:cNvPicPr/>
                  </pic:nvPicPr>
                  <pic:blipFill>
                    <a:blip r:embed="rId7"/>
                    <a:stretch>
                      <a:fillRect/>
                    </a:stretch>
                  </pic:blipFill>
                  <pic:spPr>
                    <a:xfrm>
                      <a:off x="0" y="0"/>
                      <a:ext cx="4322783" cy="4049839"/>
                    </a:xfrm>
                    <a:prstGeom prst="rect">
                      <a:avLst/>
                    </a:prstGeom>
                  </pic:spPr>
                </pic:pic>
              </a:graphicData>
            </a:graphic>
          </wp:inline>
        </w:drawing>
      </w:r>
    </w:p>
    <w:p w14:paraId="49FCAC10" w14:textId="7DAAA2FC" w:rsidR="005417F7" w:rsidRDefault="005417F7" w:rsidP="000A1D3A">
      <w:pPr>
        <w:tabs>
          <w:tab w:val="left" w:pos="5910"/>
        </w:tabs>
        <w:jc w:val="center"/>
        <w:rPr>
          <w:b/>
          <w:bCs/>
        </w:rPr>
      </w:pPr>
      <w:r>
        <w:rPr>
          <w:b/>
          <w:bCs/>
        </w:rPr>
        <w:t>Figure 4: Equivalence ratio dependence of laminar flame speed [2]</w:t>
      </w:r>
    </w:p>
    <w:p w14:paraId="1F5A6BF3" w14:textId="59CEF24E" w:rsidR="005417F7" w:rsidRDefault="005417F7" w:rsidP="005417F7">
      <w:pPr>
        <w:tabs>
          <w:tab w:val="left" w:pos="5910"/>
        </w:tabs>
      </w:pPr>
      <w:r>
        <w:t xml:space="preserve">The trends observed from the computed equivalence ratio results agree with the experimental results. The values are slightly higher from the computational results, compared to the experimental results. The highest flame speed is observed at an equivalence ratio greater than one, which agrees with the peak of adiabatic flame temperature, which also occurs at an equivalence ratio greater than one. A higher adiabatic flame temperature corresponds with more energy released, and therefore a higher flame speed. This is the suggested mechanism to explain the equivalence ratio dependence. </w:t>
      </w:r>
    </w:p>
    <w:p w14:paraId="75FB01D7" w14:textId="43806FCE" w:rsidR="005417F7" w:rsidRDefault="005417F7" w:rsidP="005417F7">
      <w:pPr>
        <w:pStyle w:val="Heading2"/>
      </w:pPr>
      <w:r>
        <w:t>Question 4</w:t>
      </w:r>
    </w:p>
    <w:p w14:paraId="17907B23" w14:textId="6825EE57" w:rsidR="005417F7" w:rsidRDefault="004B393F" w:rsidP="005417F7">
      <w:r>
        <w:t>At conditions</w:t>
      </w:r>
      <w:r w:rsidR="001E6898">
        <w:t xml:space="preserve"> of P=1atm, T=300K, and an equivalence ratio of one, the temperature distribution, heat release rate Q, and molar concentrations of selected species were calculated:</w:t>
      </w:r>
    </w:p>
    <w:p w14:paraId="2866C608" w14:textId="6F12A579" w:rsidR="001E6898" w:rsidRDefault="001E6898" w:rsidP="001E6898">
      <w:pPr>
        <w:jc w:val="center"/>
      </w:pPr>
      <w:r>
        <w:rPr>
          <w:noProof/>
        </w:rPr>
        <w:lastRenderedPageBreak/>
        <w:drawing>
          <wp:inline distT="0" distB="0" distL="0" distR="0" wp14:anchorId="13D124F2" wp14:editId="7335B94D">
            <wp:extent cx="5934075" cy="5210175"/>
            <wp:effectExtent l="0" t="0" r="9525" b="9525"/>
            <wp:docPr id="596584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210175"/>
                    </a:xfrm>
                    <a:prstGeom prst="rect">
                      <a:avLst/>
                    </a:prstGeom>
                    <a:noFill/>
                    <a:ln>
                      <a:noFill/>
                    </a:ln>
                  </pic:spPr>
                </pic:pic>
              </a:graphicData>
            </a:graphic>
          </wp:inline>
        </w:drawing>
      </w:r>
    </w:p>
    <w:p w14:paraId="732802AA" w14:textId="1C9B5D6E" w:rsidR="001E6898" w:rsidRDefault="001E6898" w:rsidP="001E6898">
      <w:pPr>
        <w:jc w:val="center"/>
        <w:rPr>
          <w:b/>
          <w:bCs/>
        </w:rPr>
      </w:pPr>
      <w:r>
        <w:rPr>
          <w:b/>
          <w:bCs/>
        </w:rPr>
        <w:t>Figure 5: Combined plot of temperature, heat release rate, and mole fractions</w:t>
      </w:r>
    </w:p>
    <w:p w14:paraId="5B169BA7" w14:textId="35F16012" w:rsidR="001E6898" w:rsidRDefault="001E6898" w:rsidP="001E6898">
      <w:pPr>
        <w:rPr>
          <w:rFonts w:eastAsiaTheme="minorEastAsia"/>
        </w:rPr>
      </w:pPr>
      <w:r>
        <w:t xml:space="preserve">Using the equation </w:t>
      </w:r>
      <m:oMath>
        <m:r>
          <w:rPr>
            <w:rFonts w:ascii="Cambria Math" w:hAnsi="Cambria Math"/>
          </w:rPr>
          <m:t>δ=</m:t>
        </m:r>
        <m:f>
          <m:fPr>
            <m:ctrlPr>
              <w:rPr>
                <w:rFonts w:ascii="Cambria Math" w:hAnsi="Cambria Math"/>
                <w:i/>
              </w:rPr>
            </m:ctrlPr>
          </m:fPr>
          <m:num>
            <m:r>
              <w:rPr>
                <w:rFonts w:ascii="Cambria Math" w:hAnsi="Cambria Math"/>
              </w:rPr>
              <m:t>2α</m:t>
            </m:r>
          </m:num>
          <m:den>
            <m:sSub>
              <m:sSubPr>
                <m:ctrlPr>
                  <w:rPr>
                    <w:rFonts w:ascii="Cambria Math" w:hAnsi="Cambria Math"/>
                    <w:i/>
                  </w:rPr>
                </m:ctrlPr>
              </m:sSubPr>
              <m:e>
                <m:r>
                  <w:rPr>
                    <w:rFonts w:ascii="Cambria Math" w:hAnsi="Cambria Math"/>
                  </w:rPr>
                  <m:t>S</m:t>
                </m:r>
              </m:e>
              <m:sub>
                <m:r>
                  <w:rPr>
                    <w:rFonts w:ascii="Cambria Math" w:hAnsi="Cambria Math"/>
                  </w:rPr>
                  <m:t>L</m:t>
                </m:r>
              </m:sub>
            </m:sSub>
          </m:den>
        </m:f>
      </m:oMath>
      <w:r>
        <w:rPr>
          <w:rFonts w:eastAsiaTheme="minorEastAsia"/>
        </w:rPr>
        <w:t>, evaluated at the flame midpoint x=0.0215m, results in a calculated flame thickness of 6.3mm. When evaluating the thickness based on the temperature distribution, the thickness appears to be approximately 3mm. The disparity in thickness is due to different methods used to calculate the thicknesses.</w:t>
      </w:r>
    </w:p>
    <w:p w14:paraId="6DA86E80" w14:textId="5B8C94CA" w:rsidR="001E6898" w:rsidRPr="001E6898" w:rsidRDefault="001E6898" w:rsidP="00867734">
      <w:pPr>
        <w:pStyle w:val="Heading2"/>
        <w:jc w:val="center"/>
      </w:pPr>
      <w:r>
        <w:lastRenderedPageBreak/>
        <w:t>Question 5</w:t>
      </w:r>
      <w:r w:rsidR="00867734">
        <w:rPr>
          <w:noProof/>
        </w:rPr>
        <w:drawing>
          <wp:inline distT="0" distB="0" distL="0" distR="0" wp14:anchorId="1BC8EC58" wp14:editId="6F84FA8B">
            <wp:extent cx="5943600" cy="4451350"/>
            <wp:effectExtent l="0" t="0" r="0" b="6350"/>
            <wp:docPr id="4744943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1350"/>
                    </a:xfrm>
                    <a:prstGeom prst="rect">
                      <a:avLst/>
                    </a:prstGeom>
                    <a:noFill/>
                    <a:ln>
                      <a:noFill/>
                    </a:ln>
                  </pic:spPr>
                </pic:pic>
              </a:graphicData>
            </a:graphic>
          </wp:inline>
        </w:drawing>
      </w:r>
    </w:p>
    <w:p w14:paraId="09B03E3E" w14:textId="173F4BE5" w:rsidR="00735AE4" w:rsidRDefault="00867734" w:rsidP="00867734">
      <w:pPr>
        <w:jc w:val="center"/>
        <w:rPr>
          <w:b/>
          <w:bCs/>
          <w:iCs/>
        </w:rPr>
      </w:pPr>
      <w:r>
        <w:rPr>
          <w:b/>
          <w:bCs/>
          <w:iCs/>
        </w:rPr>
        <w:t>Figure 6: Sensitivities of reactions for NH3-Air combustion</w:t>
      </w:r>
    </w:p>
    <w:p w14:paraId="68F4857C" w14:textId="72D14D08" w:rsidR="00867734" w:rsidRPr="00867734" w:rsidRDefault="00867734" w:rsidP="00867734">
      <w:pPr>
        <w:rPr>
          <w:iCs/>
        </w:rPr>
      </w:pPr>
      <w:r>
        <w:rPr>
          <w:iCs/>
        </w:rPr>
        <w:t>The sensitivities of ammonia-air combustion are obtained with Cantera, by application of the adjoint method. These results indicate that Hydrogen-involving reactions dominate the sensitivity. The reactions with the highest positive sensitivity contribute to the creation of radicals, or chain branching. The reactions with the highest negative sensitivity consume radicals. Rate coefficients for the reactions with highest sensitivities should be studied carefully to ensure accurate flame speeds.</w:t>
      </w:r>
    </w:p>
    <w:p w14:paraId="377274A3" w14:textId="77777777" w:rsidR="00867734" w:rsidRDefault="00867734" w:rsidP="00867734">
      <w:pPr>
        <w:rPr>
          <w:iCs/>
        </w:rPr>
      </w:pPr>
    </w:p>
    <w:p w14:paraId="15813797" w14:textId="751756E7" w:rsidR="004B393F" w:rsidRDefault="004B393F" w:rsidP="00464D7D">
      <w:pPr>
        <w:rPr>
          <w:iCs/>
        </w:rPr>
      </w:pPr>
      <w:r>
        <w:rPr>
          <w:iCs/>
        </w:rPr>
        <w:t>AI Disclosure: AI was used for plotting &amp; debugging</w:t>
      </w:r>
    </w:p>
    <w:p w14:paraId="10CA2378" w14:textId="22042EB9" w:rsidR="00EB3194" w:rsidRDefault="00735AE4" w:rsidP="00464D7D">
      <w:pPr>
        <w:rPr>
          <w:iCs/>
        </w:rPr>
      </w:pPr>
      <w:r>
        <w:rPr>
          <w:iCs/>
        </w:rPr>
        <w:t>Citations</w:t>
      </w:r>
    </w:p>
    <w:p w14:paraId="135EFBEB" w14:textId="0B7CD999" w:rsidR="00735AE4" w:rsidRDefault="00735AE4" w:rsidP="00464D7D">
      <w:pPr>
        <w:rPr>
          <w:iCs/>
        </w:rPr>
      </w:pPr>
      <w:r>
        <w:rPr>
          <w:iCs/>
        </w:rPr>
        <w:t xml:space="preserve">[1] </w:t>
      </w:r>
      <w:r w:rsidRPr="00735AE4">
        <w:rPr>
          <w:iCs/>
        </w:rPr>
        <w:t xml:space="preserve">Chemical Mechanism: Combustion Research Group at UC San </w:t>
      </w:r>
      <w:r>
        <w:rPr>
          <w:iCs/>
        </w:rPr>
        <w:t>Di</w:t>
      </w:r>
      <w:r w:rsidRPr="00735AE4">
        <w:rPr>
          <w:iCs/>
        </w:rPr>
        <w:t>ego. </w:t>
      </w:r>
      <w:hyperlink r:id="rId10" w:history="1">
        <w:r w:rsidRPr="00735AE4">
          <w:rPr>
            <w:rStyle w:val="Hyperlink"/>
            <w:iCs/>
          </w:rPr>
          <w:t>https://web.eng.ucsd.edu/mae/groups/combustion/mechanism.html</w:t>
        </w:r>
      </w:hyperlink>
    </w:p>
    <w:p w14:paraId="573F04D9" w14:textId="41726864" w:rsidR="00735AE4" w:rsidRDefault="000C4C10" w:rsidP="00464D7D">
      <w:pPr>
        <w:rPr>
          <w:iCs/>
        </w:rPr>
      </w:pPr>
      <w:r>
        <w:rPr>
          <w:iCs/>
        </w:rPr>
        <w:t xml:space="preserve">[2] </w:t>
      </w:r>
      <w:r w:rsidRPr="000C4C10">
        <w:rPr>
          <w:iCs/>
        </w:rPr>
        <w:t>Takizawa, Kenji, et al. "Burning velocity measurements of nitrogen-containing compounds." </w:t>
      </w:r>
      <w:r w:rsidRPr="000C4C10">
        <w:rPr>
          <w:i/>
          <w:iCs/>
        </w:rPr>
        <w:t>Journal of hazardous materials</w:t>
      </w:r>
      <w:r w:rsidRPr="000C4C10">
        <w:rPr>
          <w:iCs/>
        </w:rPr>
        <w:t> 155.1-2 (2008): 144-152.</w:t>
      </w:r>
    </w:p>
    <w:p w14:paraId="17BBB7D3" w14:textId="75D176A4" w:rsidR="000A1D3A" w:rsidRPr="00EB3194" w:rsidRDefault="000A1D3A" w:rsidP="00464D7D">
      <w:pPr>
        <w:rPr>
          <w:iCs/>
        </w:rPr>
      </w:pPr>
      <w:r>
        <w:rPr>
          <w:iCs/>
        </w:rPr>
        <w:lastRenderedPageBreak/>
        <w:t xml:space="preserve">[3] </w:t>
      </w:r>
      <w:r w:rsidRPr="000A1D3A">
        <w:rPr>
          <w:iCs/>
        </w:rPr>
        <w:t>Zhang, Xiaolei, et al. "Effect of CH4, pressure, and initial temperature on the laminar flame speed of an NH3–air mixture." ACS omega 6.18 (2021): 11857-11868.</w:t>
      </w:r>
    </w:p>
    <w:sectPr w:rsidR="000A1D3A" w:rsidRPr="00EB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F86"/>
    <w:rsid w:val="0000455F"/>
    <w:rsid w:val="000A1D3A"/>
    <w:rsid w:val="000C4C10"/>
    <w:rsid w:val="001E6898"/>
    <w:rsid w:val="002113F7"/>
    <w:rsid w:val="002767FA"/>
    <w:rsid w:val="00286C7A"/>
    <w:rsid w:val="0035188B"/>
    <w:rsid w:val="00464D7D"/>
    <w:rsid w:val="004B393F"/>
    <w:rsid w:val="005417F7"/>
    <w:rsid w:val="005B7B66"/>
    <w:rsid w:val="005C5749"/>
    <w:rsid w:val="00644F86"/>
    <w:rsid w:val="006B5549"/>
    <w:rsid w:val="006E6463"/>
    <w:rsid w:val="00707DF5"/>
    <w:rsid w:val="00722901"/>
    <w:rsid w:val="00735AE4"/>
    <w:rsid w:val="00850BDB"/>
    <w:rsid w:val="00867734"/>
    <w:rsid w:val="00A269BE"/>
    <w:rsid w:val="00AB69B1"/>
    <w:rsid w:val="00B8597F"/>
    <w:rsid w:val="00EB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5518"/>
  <w15:chartTrackingRefBased/>
  <w15:docId w15:val="{0627FD1D-1FD5-4B2F-9165-617CD01DC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F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4F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4F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4F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4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4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4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4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4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F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4F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4F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4F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4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4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4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4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4F86"/>
    <w:rPr>
      <w:rFonts w:eastAsiaTheme="majorEastAsia" w:cstheme="majorBidi"/>
      <w:color w:val="272727" w:themeColor="text1" w:themeTint="D8"/>
    </w:rPr>
  </w:style>
  <w:style w:type="paragraph" w:styleId="Title">
    <w:name w:val="Title"/>
    <w:basedOn w:val="Normal"/>
    <w:next w:val="Normal"/>
    <w:link w:val="TitleChar"/>
    <w:uiPriority w:val="10"/>
    <w:qFormat/>
    <w:rsid w:val="00644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4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4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4F86"/>
    <w:pPr>
      <w:spacing w:before="160"/>
      <w:jc w:val="center"/>
    </w:pPr>
    <w:rPr>
      <w:i/>
      <w:iCs/>
      <w:color w:val="404040" w:themeColor="text1" w:themeTint="BF"/>
    </w:rPr>
  </w:style>
  <w:style w:type="character" w:customStyle="1" w:styleId="QuoteChar">
    <w:name w:val="Quote Char"/>
    <w:basedOn w:val="DefaultParagraphFont"/>
    <w:link w:val="Quote"/>
    <w:uiPriority w:val="29"/>
    <w:rsid w:val="00644F86"/>
    <w:rPr>
      <w:i/>
      <w:iCs/>
      <w:color w:val="404040" w:themeColor="text1" w:themeTint="BF"/>
    </w:rPr>
  </w:style>
  <w:style w:type="paragraph" w:styleId="ListParagraph">
    <w:name w:val="List Paragraph"/>
    <w:basedOn w:val="Normal"/>
    <w:uiPriority w:val="34"/>
    <w:qFormat/>
    <w:rsid w:val="00644F86"/>
    <w:pPr>
      <w:ind w:left="720"/>
      <w:contextualSpacing/>
    </w:pPr>
  </w:style>
  <w:style w:type="character" w:styleId="IntenseEmphasis">
    <w:name w:val="Intense Emphasis"/>
    <w:basedOn w:val="DefaultParagraphFont"/>
    <w:uiPriority w:val="21"/>
    <w:qFormat/>
    <w:rsid w:val="00644F86"/>
    <w:rPr>
      <w:i/>
      <w:iCs/>
      <w:color w:val="0F4761" w:themeColor="accent1" w:themeShade="BF"/>
    </w:rPr>
  </w:style>
  <w:style w:type="paragraph" w:styleId="IntenseQuote">
    <w:name w:val="Intense Quote"/>
    <w:basedOn w:val="Normal"/>
    <w:next w:val="Normal"/>
    <w:link w:val="IntenseQuoteChar"/>
    <w:uiPriority w:val="30"/>
    <w:qFormat/>
    <w:rsid w:val="00644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4F86"/>
    <w:rPr>
      <w:i/>
      <w:iCs/>
      <w:color w:val="0F4761" w:themeColor="accent1" w:themeShade="BF"/>
    </w:rPr>
  </w:style>
  <w:style w:type="character" w:styleId="IntenseReference">
    <w:name w:val="Intense Reference"/>
    <w:basedOn w:val="DefaultParagraphFont"/>
    <w:uiPriority w:val="32"/>
    <w:qFormat/>
    <w:rsid w:val="00644F86"/>
    <w:rPr>
      <w:b/>
      <w:bCs/>
      <w:smallCaps/>
      <w:color w:val="0F4761" w:themeColor="accent1" w:themeShade="BF"/>
      <w:spacing w:val="5"/>
    </w:rPr>
  </w:style>
  <w:style w:type="character" w:styleId="PlaceholderText">
    <w:name w:val="Placeholder Text"/>
    <w:basedOn w:val="DefaultParagraphFont"/>
    <w:uiPriority w:val="99"/>
    <w:semiHidden/>
    <w:rsid w:val="00EB3194"/>
    <w:rPr>
      <w:color w:val="666666"/>
    </w:rPr>
  </w:style>
  <w:style w:type="character" w:styleId="Hyperlink">
    <w:name w:val="Hyperlink"/>
    <w:basedOn w:val="DefaultParagraphFont"/>
    <w:uiPriority w:val="99"/>
    <w:unhideWhenUsed/>
    <w:rsid w:val="00735AE4"/>
    <w:rPr>
      <w:color w:val="467886" w:themeColor="hyperlink"/>
      <w:u w:val="single"/>
    </w:rPr>
  </w:style>
  <w:style w:type="character" w:styleId="UnresolvedMention">
    <w:name w:val="Unresolved Mention"/>
    <w:basedOn w:val="DefaultParagraphFont"/>
    <w:uiPriority w:val="99"/>
    <w:semiHidden/>
    <w:unhideWhenUsed/>
    <w:rsid w:val="00735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eb.eng.ucsd.edu/mae/groups/combustion/mechanism.html"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1471</TotalTime>
  <Pages>7</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Arcfield IT</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Logan</dc:creator>
  <cp:keywords/>
  <dc:description/>
  <cp:lastModifiedBy>Freeman, Logan</cp:lastModifiedBy>
  <cp:revision>2</cp:revision>
  <dcterms:created xsi:type="dcterms:W3CDTF">2025-04-14T19:16:00Z</dcterms:created>
  <dcterms:modified xsi:type="dcterms:W3CDTF">2025-04-17T01:23:00Z</dcterms:modified>
</cp:coreProperties>
</file>