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>Documento de Especificação Funcional e Requisitos de Negócio: Bolsa de Atletas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Heading2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>1. Visão Geral do Sistema</w:t>
      </w:r>
    </w:p>
    <w:p>
      <w:pPr>
        <w:pStyle w:val="BodyText"/>
        <w:widowControl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 xml:space="preserve">A </w:t>
      </w:r>
      <w:r>
        <w:rPr>
          <w:rFonts w:ascii="Google Sans Text;sans-serif" w:hAnsi="Google Sans Text;sans-serif"/>
          <w:b/>
          <w:color w:val="1F1F1F"/>
        </w:rPr>
        <w:t>Bolsa de Atletas</w:t>
      </w:r>
      <w:r>
        <w:rPr>
          <w:rFonts w:ascii="Google Sans Text;sans-serif" w:hAnsi="Google Sans Text;sans-serif"/>
          <w:color w:val="1F1F1F"/>
        </w:rPr>
        <w:t xml:space="preserve"> é uma plataforma de investimento e negociação de ativos esportivos que permite a clubes de futebol (e outras modalidades) captarem recursos financeiros no mercado primário através do fracionamento e emissão de títulos ligados aos direitos contratuais de atletas, bem como a negociação secundária desses títulos entre investidores em um ambiente de pregão em tempo real.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>2. Modelo de Monetização da Plataforma</w:t>
      </w:r>
    </w:p>
    <w:tbl>
      <w:tblPr>
        <w:tblW w:w="9638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1789"/>
        <w:gridCol w:w="1529"/>
        <w:gridCol w:w="1797"/>
        <w:gridCol w:w="4523"/>
      </w:tblGrid>
      <w:tr>
        <w:trPr>
          <w:tblHeader w:val="true"/>
        </w:trPr>
        <w:tc>
          <w:tcPr>
            <w:tcW w:w="178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Operação</w:t>
            </w:r>
          </w:p>
        </w:tc>
        <w:tc>
          <w:tcPr>
            <w:tcW w:w="152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Incidência</w:t>
            </w:r>
          </w:p>
        </w:tc>
        <w:tc>
          <w:tcPr>
            <w:tcW w:w="179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Alíquota / Valor</w:t>
            </w:r>
          </w:p>
        </w:tc>
        <w:tc>
          <w:tcPr>
            <w:tcW w:w="452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Mecânica de Cobrança</w:t>
            </w:r>
          </w:p>
        </w:tc>
      </w:tr>
      <w:tr>
        <w:trPr/>
        <w:tc>
          <w:tcPr>
            <w:tcW w:w="178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Captação Inicial (IPO)</w:t>
            </w:r>
          </w:p>
        </w:tc>
        <w:tc>
          <w:tcPr>
            <w:tcW w:w="152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Clube Emissor</w:t>
            </w:r>
          </w:p>
        </w:tc>
        <w:tc>
          <w:tcPr>
            <w:tcW w:w="179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5,0% sobre o montante arrecadado</w:t>
            </w:r>
          </w:p>
        </w:tc>
        <w:tc>
          <w:tcPr>
            <w:tcW w:w="452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Debitado automaticamente do valor repassado ao clube na liquidação do IPO bem-sucedido.</w:t>
            </w:r>
          </w:p>
        </w:tc>
      </w:tr>
      <w:tr>
        <w:trPr/>
        <w:tc>
          <w:tcPr>
            <w:tcW w:w="178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Pregão (Mercado Secundário)</w:t>
            </w:r>
          </w:p>
        </w:tc>
        <w:tc>
          <w:tcPr>
            <w:tcW w:w="152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Comprador e Vendedor</w:t>
            </w:r>
          </w:p>
        </w:tc>
        <w:tc>
          <w:tcPr>
            <w:tcW w:w="179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1,0% por ponta (2,0% total no match)</w:t>
            </w:r>
          </w:p>
        </w:tc>
        <w:tc>
          <w:tcPr>
            <w:tcW w:w="452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Adicionado ao débito do comprador (ex: R$ 100 em ações = R$ 101 debitados) e deduzido do crédito do vendedor (R$ 100 em ações = R$ 99 creditados).</w:t>
            </w:r>
          </w:p>
        </w:tc>
      </w:tr>
      <w:tr>
        <w:trPr/>
        <w:tc>
          <w:tcPr>
            <w:tcW w:w="178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Depósito (Cash-in)</w:t>
            </w:r>
          </w:p>
        </w:tc>
        <w:tc>
          <w:tcPr>
            <w:tcW w:w="152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Investidor</w:t>
            </w:r>
          </w:p>
        </w:tc>
        <w:tc>
          <w:tcPr>
            <w:tcW w:w="179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Gratuito</w:t>
            </w:r>
          </w:p>
        </w:tc>
        <w:tc>
          <w:tcPr>
            <w:tcW w:w="452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Absorvido pela plataforma.</w:t>
            </w:r>
          </w:p>
        </w:tc>
      </w:tr>
      <w:tr>
        <w:trPr/>
        <w:tc>
          <w:tcPr>
            <w:tcW w:w="178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Saque (Cash-out)</w:t>
            </w:r>
          </w:p>
        </w:tc>
        <w:tc>
          <w:tcPr>
            <w:tcW w:w="152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Investidor</w:t>
            </w:r>
          </w:p>
        </w:tc>
        <w:tc>
          <w:tcPr>
            <w:tcW w:w="179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Taxa Fixa Repassada (ex: R$ 1,50)</w:t>
            </w:r>
          </w:p>
        </w:tc>
        <w:tc>
          <w:tcPr>
            <w:tcW w:w="452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 xml:space="preserve">Cobrado por operação no momento da solicitação de saída via PIX. </w:t>
            </w:r>
            <w:r>
              <w:rPr>
                <w:rFonts w:ascii="Google Sans Text;sans-serif" w:hAnsi="Google Sans Text;sans-serif"/>
                <w:i/>
                <w:color w:val="1F1F1F"/>
              </w:rPr>
              <w:t>(Evolução planejada no roadmap para franquia de isenção e futura gratuidade).</w:t>
            </w:r>
          </w:p>
        </w:tc>
      </w:tr>
    </w:tbl>
    <w:p>
      <w:pPr>
        <w:pStyle w:val="Heading2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>3. Especificações M</w:t>
      </w:r>
      <w:r>
        <w:rPr>
          <w:rFonts w:ascii="Google Sans;sans-serif" w:hAnsi="Google Sans;sans-serif"/>
          <w:color w:val="1F1F1F"/>
        </w:rPr>
        <w:t>o</w:t>
      </w:r>
      <w:r>
        <w:rPr>
          <w:rFonts w:ascii="Google Sans;sans-serif" w:hAnsi="Google Sans;sans-serif"/>
          <w:color w:val="1F1F1F"/>
        </w:rPr>
        <w:t>dulares do Sistema</w:t>
      </w:r>
    </w:p>
    <w:p>
      <w:pPr>
        <w:pStyle w:val="Heading3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>Módulo 1: Captação Inicial e IPO (Mercado Primário)</w:t>
      </w:r>
    </w:p>
    <w:p>
      <w:pPr>
        <w:pStyle w:val="BodyText"/>
        <w:keepNext w:val="false"/>
        <w:pageBreakBefore w:val="false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1.1 Métricas de Lançamento: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/>
      </w:pPr>
      <w:r>
        <w:rPr/>
      </w:r>
    </w:p>
    <w:p>
      <w:pPr>
        <w:pStyle w:val="BodyText"/>
        <w:keepNext w:val="false"/>
        <w:pageBreakBefore w:val="false"/>
        <w:widowControl/>
        <w:numPr>
          <w:ilvl w:val="1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Hard Cap:</w:t>
      </w:r>
      <w:r>
        <w:rPr>
          <w:rFonts w:ascii="Google Sans Text;sans-serif" w:hAnsi="Google Sans Text;sans-serif"/>
          <w:color w:val="1F1F1F"/>
        </w:rPr>
        <w:t xml:space="preserve"> Valor total teto da captação (ex: R$ 100.000.000,00 divididos em 100.000.000 de ações a R$ 1,00 cada).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BodyText"/>
        <w:keepNext w:val="false"/>
        <w:pageBreakBefore w:val="false"/>
        <w:widowControl/>
        <w:numPr>
          <w:ilvl w:val="1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Soft Cap:</w:t>
      </w:r>
      <w:r>
        <w:rPr>
          <w:rFonts w:ascii="Google Sans Text;sans-serif" w:hAnsi="Google Sans Text;sans-serif"/>
          <w:color w:val="1F1F1F"/>
        </w:rPr>
        <w:t xml:space="preserve"> Valor mínimo obrigatório (percentual do Hard Cap) para que o IPO seja considerado válido.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BodyText"/>
        <w:keepNext w:val="false"/>
        <w:pageBreakBefore w:val="false"/>
        <w:widowControl/>
        <w:numPr>
          <w:ilvl w:val="1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Prazo de Captação:</w:t>
      </w:r>
      <w:r>
        <w:rPr>
          <w:rFonts w:ascii="Google Sans Text;sans-serif" w:hAnsi="Google Sans Text;sans-serif"/>
          <w:color w:val="1F1F1F"/>
        </w:rPr>
        <w:t xml:space="preserve"> Janela de tempo configurável (ex: 30 dias). Caso o Hard Cap seja atingido antes do prazo, o IPO encerra antecipadamente.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BodyText"/>
        <w:keepNext w:val="false"/>
        <w:pageBreakBefore w:val="false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1.2 Modelo de Alocação (FIFO Direct Drive):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/>
      </w:pPr>
      <w:r>
        <w:rPr/>
      </w:r>
    </w:p>
    <w:p>
      <w:pPr>
        <w:pStyle w:val="BodyText"/>
        <w:keepNext w:val="false"/>
        <w:pageBreakBefore w:val="false"/>
        <w:widowControl/>
        <w:numPr>
          <w:ilvl w:val="1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As reservas ocorrem em tempo real por ordem de chegada (</w:t>
      </w:r>
      <w:r>
        <w:rPr>
          <w:rFonts w:ascii="Google Sans Text;sans-serif" w:hAnsi="Google Sans Text;sans-serif"/>
          <w:i/>
          <w:color w:val="1F1F1F"/>
        </w:rPr>
        <w:t>First-Come, First-Served</w:t>
      </w:r>
      <w:r>
        <w:rPr>
          <w:rFonts w:ascii="Google Sans Text;sans-serif" w:hAnsi="Google Sans Text;sans-serif"/>
          <w:color w:val="1F1F1F"/>
        </w:rPr>
        <w:t>).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BodyText"/>
        <w:keepNext w:val="false"/>
        <w:pageBreakBefore w:val="false"/>
        <w:widowControl/>
        <w:numPr>
          <w:ilvl w:val="1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Não há janela de rateio; investidores garantes suas ações instantaneamente até que o teto da oferta seja atingido.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BodyText"/>
        <w:keepNext w:val="false"/>
        <w:pageBreakBefore w:val="false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1.3 Fluxo de Liquidação Financeira: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/>
      </w:pPr>
      <w:r>
        <w:rPr/>
      </w:r>
    </w:p>
    <w:p>
      <w:pPr>
        <w:pStyle w:val="BodyText"/>
        <w:keepNext w:val="false"/>
        <w:pageBreakBefore w:val="false"/>
        <w:widowControl/>
        <w:numPr>
          <w:ilvl w:val="1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IPO Bem-Sucedido (Arrecadação $\ge$ Soft Cap):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/>
      </w:pPr>
      <w:r>
        <w:rPr/>
      </w:r>
    </w:p>
    <w:p>
      <w:pPr>
        <w:pStyle w:val="BodyText"/>
        <w:keepNext w:val="false"/>
        <w:pageBreakBefore w:val="false"/>
        <w:widowControl/>
        <w:numPr>
          <w:ilvl w:val="2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O valor arrecadado é transferido ao clube, deduzida a taxa de 5% da plataforma.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BodyText"/>
        <w:keepNext w:val="false"/>
        <w:pageBreakBefore w:val="false"/>
        <w:widowControl/>
        <w:numPr>
          <w:ilvl w:val="2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As ações são emitidas e disponibilizadas nas carteiras dos investidores em estado bloqueado.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BodyText"/>
        <w:keepNext w:val="false"/>
        <w:pageBreakBefore w:val="false"/>
        <w:widowControl/>
        <w:numPr>
          <w:ilvl w:val="2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O card do atleta é ativado e liberado para negociação no pregão secundário.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BodyText"/>
        <w:keepNext w:val="false"/>
        <w:pageBreakBefore w:val="false"/>
        <w:widowControl/>
        <w:numPr>
          <w:ilvl w:val="1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IPO Fracassado (Arrecadação &lt; Soft Cap no encerramento do prazo):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/>
      </w:pPr>
      <w:r>
        <w:rPr/>
      </w:r>
    </w:p>
    <w:p>
      <w:pPr>
        <w:pStyle w:val="BodyText"/>
        <w:keepNext w:val="false"/>
        <w:pageBreakBefore w:val="false"/>
        <w:widowControl/>
        <w:numPr>
          <w:ilvl w:val="2"/>
          <w:numId w:val="10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A oferta é cancelada automaticamente.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BodyText"/>
        <w:keepNext w:val="false"/>
        <w:pageBreakBefore w:val="false"/>
        <w:widowControl/>
        <w:numPr>
          <w:ilvl w:val="2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 xml:space="preserve">100% dos valores mantidos em reserva são estornados ao </w:t>
      </w:r>
      <w:r>
        <w:rPr>
          <w:rFonts w:ascii="Google Sans Text;sans-serif" w:hAnsi="Google Sans Text;sans-serif"/>
          <w:i/>
          <w:color w:val="1F1F1F"/>
        </w:rPr>
        <w:t>Saldo Disponível</w:t>
      </w:r>
      <w:r>
        <w:rPr>
          <w:rFonts w:ascii="Google Sans Text;sans-serif" w:hAnsi="Google Sans Text;sans-serif"/>
          <w:color w:val="1F1F1F"/>
        </w:rPr>
        <w:t xml:space="preserve"> dos investidores, sem qualquer cobrança de taxa.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Heading3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>Módulo 2: Motor de Negociação e Pregão (Mercado Secundário)</w:t>
      </w:r>
    </w:p>
    <w:p>
      <w:pPr>
        <w:pStyle w:val="BodyText"/>
        <w:keepNext w:val="false"/>
        <w:pageBreakBefore w:val="false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2.1 Tipos de Ordens Supor</w:t>
      </w:r>
      <w:r>
        <w:rPr>
          <w:rFonts w:ascii="Google Sans Text;sans-serif" w:hAnsi="Google Sans Text;sans-serif"/>
          <w:b/>
          <w:color w:val="1F1F1F"/>
        </w:rPr>
        <w:t>t</w:t>
      </w:r>
      <w:r>
        <w:rPr>
          <w:rFonts w:ascii="Google Sans Text;sans-serif" w:hAnsi="Google Sans Text;sans-serif"/>
          <w:b/>
          <w:color w:val="1F1F1F"/>
        </w:rPr>
        <w:t>adas: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/>
      </w:pPr>
      <w:r>
        <w:rPr/>
      </w:r>
    </w:p>
    <w:p>
      <w:pPr>
        <w:pStyle w:val="BodyText"/>
        <w:keepNext w:val="false"/>
        <w:pageBreakBefore w:val="false"/>
        <w:widowControl/>
        <w:numPr>
          <w:ilvl w:val="1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Ordem a Limite:</w:t>
      </w:r>
      <w:r>
        <w:rPr>
          <w:rFonts w:ascii="Google Sans Text;sans-serif" w:hAnsi="Google Sans Text;sans-serif"/>
          <w:color w:val="1F1F1F"/>
        </w:rPr>
        <w:t xml:space="preserve"> O investidor especifica a quantidade exata de ações e o preço máximo de compra ou preço mínimo de venda.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BodyText"/>
        <w:keepNext w:val="false"/>
        <w:pageBreakBefore w:val="false"/>
        <w:widowControl/>
        <w:numPr>
          <w:ilvl w:val="1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Ordem a Mercado:</w:t>
      </w:r>
      <w:r>
        <w:rPr>
          <w:rFonts w:ascii="Google Sans Text;sans-serif" w:hAnsi="Google Sans Text;sans-serif"/>
          <w:color w:val="1F1F1F"/>
        </w:rPr>
        <w:t xml:space="preserve"> O investidor solicita a execução imediata com base na melhor oferta disponível no livro.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BodyText"/>
        <w:keepNext w:val="false"/>
        <w:pageBreakBefore w:val="false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2.2 Regra Restritiva de Execução (Sem Execução Parcial):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/>
      </w:pPr>
      <w:r>
        <w:rPr/>
      </w:r>
    </w:p>
    <w:p>
      <w:pPr>
        <w:pStyle w:val="BodyText"/>
        <w:keepNext w:val="false"/>
        <w:pageBreakBefore w:val="false"/>
        <w:widowControl/>
        <w:numPr>
          <w:ilvl w:val="1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 xml:space="preserve">O motor aceitará </w:t>
      </w:r>
      <w:r>
        <w:rPr>
          <w:rFonts w:ascii="Google Sans Text;sans-serif" w:hAnsi="Google Sans Text;sans-serif"/>
          <w:b/>
          <w:color w:val="1F1F1F"/>
        </w:rPr>
        <w:t>apenas Execução Total</w:t>
      </w:r>
      <w:r>
        <w:rPr>
          <w:rFonts w:ascii="Google Sans Text;sans-serif" w:hAnsi="Google Sans Text;sans-serif"/>
          <w:color w:val="1F1F1F"/>
        </w:rPr>
        <w:t>. Uma ordem só será casada se houver uma contraparte (ou conjunto compatível de ofertas) capaz de suprir a quantidade integral do lote solicitado.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BodyText"/>
        <w:keepNext w:val="false"/>
        <w:pageBreakBefore w:val="false"/>
        <w:widowControl/>
        <w:numPr>
          <w:ilvl w:val="1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Ordens que não encontrarem liquidez total imediata permanecem no livro de ofertas aguardando uma contraparte compatível.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BodyText"/>
        <w:keepNext w:val="false"/>
        <w:pageBreakBefore w:val="false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2.3 Regra de Matching no Livro: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/>
      </w:pPr>
      <w:r>
        <w:rPr/>
      </w:r>
    </w:p>
    <w:p>
      <w:pPr>
        <w:pStyle w:val="BodyText"/>
        <w:keepNext w:val="false"/>
        <w:pageBreakBefore w:val="false"/>
        <w:widowControl/>
        <w:numPr>
          <w:ilvl w:val="1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 xml:space="preserve">Prioridade </w:t>
      </w:r>
      <w:r>
        <w:rPr>
          <w:rFonts w:ascii="Google Sans Text;sans-serif" w:hAnsi="Google Sans Text;sans-serif"/>
          <w:b/>
          <w:color w:val="1F1F1F"/>
        </w:rPr>
        <w:t>Preço-Tempo</w:t>
      </w:r>
      <w:r>
        <w:rPr>
          <w:rFonts w:ascii="Google Sans Text;sans-serif" w:hAnsi="Google Sans Text;sans-serif"/>
          <w:color w:val="1F1F1F"/>
        </w:rPr>
        <w:t xml:space="preserve"> (Preço mais vantajoso executa primeiro; em preços iguais, a ordem cadastrada há mais tempo no sistema tem prioridade).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BodyText"/>
        <w:keepNext w:val="false"/>
        <w:pageBreakBefore w:val="false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2.4 Gestão de Saldos e Ativos: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/>
      </w:pPr>
      <w:r>
        <w:rPr/>
      </w:r>
    </w:p>
    <w:p>
      <w:pPr>
        <w:pStyle w:val="BodyText"/>
        <w:keepNext w:val="false"/>
        <w:pageBreakBefore w:val="false"/>
        <w:widowControl/>
        <w:numPr>
          <w:ilvl w:val="1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Ordem de Compra Aberta:</w:t>
      </w:r>
      <w:r>
        <w:rPr>
          <w:rFonts w:ascii="Google Sans Text;sans-serif" w:hAnsi="Google Sans Text;sans-serif"/>
          <w:color w:val="1F1F1F"/>
        </w:rPr>
        <w:t xml:space="preserve"> Bloqueia o valor financeiro da ordem + 1% de taxa de corretagem do saldo do investidor.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BodyText"/>
        <w:keepNext w:val="false"/>
        <w:pageBreakBefore w:val="false"/>
        <w:widowControl/>
        <w:numPr>
          <w:ilvl w:val="1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Ordem de Venda Aberta:</w:t>
      </w:r>
      <w:r>
        <w:rPr>
          <w:rFonts w:ascii="Google Sans Text;sans-serif" w:hAnsi="Google Sans Text;sans-serif"/>
          <w:color w:val="1F1F1F"/>
        </w:rPr>
        <w:t xml:space="preserve"> Bloqueia as ações correspondentes na carteira do investidor.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BodyText"/>
        <w:keepNext w:val="false"/>
        <w:pageBreakBefore w:val="false"/>
        <w:widowControl/>
        <w:numPr>
          <w:ilvl w:val="1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Cancelamento/Alteração:</w:t>
      </w:r>
      <w:r>
        <w:rPr>
          <w:rFonts w:ascii="Google Sans Text;sans-serif" w:hAnsi="Google Sans Text;sans-serif"/>
          <w:color w:val="1F1F1F"/>
        </w:rPr>
        <w:t xml:space="preserve"> O investidor pode alterar ou cancelar ordens pendentes a qualquer momento de forma gratuita, desbloqueando saldos ou ativos instantaneamente.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Heading3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>Módulo 3: Precificação, Cotação e Card do Atleta</w:t>
      </w:r>
    </w:p>
    <w:p>
      <w:pPr>
        <w:pStyle w:val="BodyText"/>
        <w:keepNext w:val="false"/>
        <w:pageBreakBefore w:val="false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3.1 Formação de Preço: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/>
      </w:pPr>
      <w:r>
        <w:rPr/>
      </w:r>
    </w:p>
    <w:p>
      <w:pPr>
        <w:pStyle w:val="BodyText"/>
        <w:keepNext w:val="false"/>
        <w:pageBreakBefore w:val="false"/>
        <w:widowControl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 xml:space="preserve">O preço do ativo é determinado </w:t>
      </w:r>
      <w:r>
        <w:rPr>
          <w:rFonts w:ascii="Google Sans Text;sans-serif" w:hAnsi="Google Sans Text;sans-serif"/>
          <w:b/>
          <w:color w:val="1F1F1F"/>
        </w:rPr>
        <w:t>exclusivamente por Oferta e Demanda</w:t>
      </w:r>
      <w:r>
        <w:rPr>
          <w:rFonts w:ascii="Google Sans Text;sans-serif" w:hAnsi="Google Sans Text;sans-serif"/>
          <w:color w:val="1F1F1F"/>
        </w:rPr>
        <w:t xml:space="preserve"> no mercado secundário (preço do último negócio executado no pregão).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BodyText"/>
        <w:keepNext w:val="false"/>
        <w:pageBreakBefore w:val="false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3.2 Disponibilidade de Mercado e Circuit Breaker: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/>
      </w:pPr>
      <w:r>
        <w:rPr/>
      </w:r>
    </w:p>
    <w:p>
      <w:pPr>
        <w:pStyle w:val="BodyText"/>
        <w:keepNext w:val="false"/>
        <w:pageBreakBefore w:val="false"/>
        <w:widowControl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 xml:space="preserve">As negociações no pregão </w:t>
      </w:r>
      <w:r>
        <w:rPr>
          <w:rFonts w:ascii="Google Sans Text;sans-serif" w:hAnsi="Google Sans Text;sans-serif"/>
          <w:b/>
          <w:color w:val="1F1F1F"/>
        </w:rPr>
        <w:t>permanecem ativas durante as partidas ao vivo</w:t>
      </w:r>
      <w:r>
        <w:rPr>
          <w:rFonts w:ascii="Google Sans Text;sans-serif" w:hAnsi="Google Sans Text;sans-serif"/>
          <w:color w:val="1F1F1F"/>
        </w:rPr>
        <w:t xml:space="preserve"> do atleta.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BodyText"/>
        <w:keepNext w:val="false"/>
        <w:pageBreakBefore w:val="false"/>
        <w:widowControl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Travamento de Emergência (Circuit Breaker):</w:t>
      </w:r>
      <w:r>
        <w:rPr>
          <w:rFonts w:ascii="Google Sans Text;sans-serif" w:hAnsi="Google Sans Text;sans-serif"/>
          <w:color w:val="1F1F1F"/>
        </w:rPr>
        <w:t xml:space="preserve"> Funcionalidade administrativa/automatizada para pausar as negociações de um atleta específico apenas sob eventos críticos (ex: confirmação de lesão grave, suspensão preventiva por disputas jurídicas ou falecimento).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BodyText"/>
        <w:keepNext w:val="false"/>
        <w:pageBreakBefore w:val="false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3.3 Estrutura de Informações do Card do Atleta: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/>
      </w:pPr>
      <w:r>
        <w:rPr/>
      </w:r>
    </w:p>
    <w:p>
      <w:pPr>
        <w:pStyle w:val="BodyText"/>
        <w:keepNext w:val="false"/>
        <w:pageBreakBefore w:val="false"/>
        <w:widowControl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Painel Financeiro:</w:t>
      </w:r>
      <w:r>
        <w:rPr>
          <w:rFonts w:ascii="Google Sans Text;sans-serif" w:hAnsi="Google Sans Text;sans-serif"/>
          <w:color w:val="1F1F1F"/>
        </w:rPr>
        <w:t xml:space="preserve"> Cotação atual, variação percentual (24h), valor de mercado (</w:t>
      </w:r>
      <w:r>
        <w:rPr>
          <w:rFonts w:ascii="Google Sans Text;sans-serif" w:hAnsi="Google Sans Text;sans-serif"/>
          <w:i/>
          <w:color w:val="1F1F1F"/>
        </w:rPr>
        <w:t>Market Cap</w:t>
      </w:r>
      <w:r>
        <w:rPr>
          <w:rFonts w:ascii="Google Sans Text;sans-serif" w:hAnsi="Google Sans Text;sans-serif"/>
          <w:color w:val="1F1F1F"/>
        </w:rPr>
        <w:t xml:space="preserve"> = quantidade total de ações $\times$ cotação atual), volume diário negociado e gráfico histórico de preços.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BodyText"/>
        <w:keepNext w:val="false"/>
        <w:pageBreakBefore w:val="false"/>
        <w:widowControl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Painel Esportivo (Informativo):</w:t>
      </w:r>
      <w:r>
        <w:rPr>
          <w:rFonts w:ascii="Google Sans Text;sans-serif" w:hAnsi="Google Sans Text;sans-serif"/>
          <w:color w:val="1F1F1F"/>
        </w:rPr>
        <w:t xml:space="preserve"> Clube atual, histórico de clubes, posição, idade, tempo restante de contrato, e estatísticas agregadas (partidas, gols, assistências, cartões e score de desempenho).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Heading3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>Módulo 4: Ciclo de Vida do Ativo e Eventos Corporativos</w:t>
      </w:r>
    </w:p>
    <w:p>
      <w:pPr>
        <w:pStyle w:val="BodyText"/>
        <w:keepNext w:val="false"/>
        <w:pageBreakBefore w:val="false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4.1 Resgate por Transferência/Venda Real: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/>
      </w:pPr>
      <w:r>
        <w:rPr/>
      </w:r>
    </w:p>
    <w:p>
      <w:pPr>
        <w:pStyle w:val="BodyText"/>
        <w:keepNext w:val="false"/>
        <w:pageBreakBefore w:val="false"/>
        <w:widowControl/>
        <w:numPr>
          <w:ilvl w:val="1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Quando o atleta é negociado no mercado real, o montante da transferência entra na plataforma.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BodyText"/>
        <w:keepNext w:val="false"/>
        <w:pageBreakBefore w:val="false"/>
        <w:widowControl/>
        <w:numPr>
          <w:ilvl w:val="1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O valor arrecadado é distribuído proporcionalmente aos detentores das ações (Valor por Ação = Montante Líquido da Venda Real / Total de Ações do Atleta).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BodyText"/>
        <w:keepNext w:val="false"/>
        <w:pageBreakBefore w:val="false"/>
        <w:widowControl/>
        <w:numPr>
          <w:ilvl w:val="1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O saldo é creditado nas contas digitais dos investidores e o ativo é permanentemente encerrado/extinto.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BodyText"/>
        <w:keepNext w:val="false"/>
        <w:pageBreakBefore w:val="false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4.2 Término de Contrato sem Renovação / Aposentadoria: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/>
      </w:pPr>
      <w:r>
        <w:rPr/>
      </w:r>
    </w:p>
    <w:p>
      <w:pPr>
        <w:pStyle w:val="BodyText"/>
        <w:keepNext w:val="false"/>
        <w:pageBreakBefore w:val="false"/>
        <w:widowControl/>
        <w:numPr>
          <w:ilvl w:val="1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Atingindo a data limite do contrato de emissão sem transferência do atleta, o ativo entra em fase de liquidação final resgatando o valor residual estipulado nas regras do prospecto do IPO.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BodyText"/>
        <w:keepNext w:val="false"/>
        <w:pageBreakBefore w:val="false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4.3 Rendimentos: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/>
      </w:pPr>
      <w:r>
        <w:rPr/>
      </w:r>
    </w:p>
    <w:p>
      <w:pPr>
        <w:pStyle w:val="BodyText"/>
        <w:keepNext w:val="false"/>
        <w:pageBreakBefore w:val="false"/>
        <w:widowControl/>
        <w:numPr>
          <w:ilvl w:val="1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 xml:space="preserve">O ativo é desenhado exclusivamente para </w:t>
      </w:r>
      <w:r>
        <w:rPr>
          <w:rFonts w:ascii="Google Sans Text;sans-serif" w:hAnsi="Google Sans Text;sans-serif"/>
          <w:b/>
          <w:color w:val="1F1F1F"/>
        </w:rPr>
        <w:t>Ganho de Capital</w:t>
      </w:r>
      <w:r>
        <w:rPr>
          <w:rFonts w:ascii="Google Sans Text;sans-serif" w:hAnsi="Google Sans Text;sans-serif"/>
          <w:color w:val="1F1F1F"/>
        </w:rPr>
        <w:t xml:space="preserve"> (valorização do título no pregão ou liquidação por venda real), sem distribuição periódica de proventos ou dividendos.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Heading3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>Módulo 5: Gestão Financeira e Carteira Digital</w:t>
      </w:r>
    </w:p>
    <w:p>
      <w:pPr>
        <w:pStyle w:val="BodyText"/>
        <w:keepNext w:val="false"/>
        <w:pageBreakBefore w:val="false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5.1 Operações PIX: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/>
      </w:pPr>
      <w:r>
        <w:rPr/>
      </w:r>
    </w:p>
    <w:p>
      <w:pPr>
        <w:pStyle w:val="BodyText"/>
        <w:keepNext w:val="false"/>
        <w:pageBreakBefore w:val="false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Cash-in (Depósito):</w:t>
      </w:r>
      <w:r>
        <w:rPr>
          <w:rFonts w:ascii="Google Sans Text;sans-serif" w:hAnsi="Google Sans Text;sans-serif"/>
          <w:color w:val="1F1F1F"/>
        </w:rPr>
        <w:t xml:space="preserve"> Reconciliação instantânea via webhook. Validação estrita de titularidade (o CPF/CNPJ da conta bancária de origem deve ser obrigatoriamente idêntico ao do titular cadastrado).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BodyText"/>
        <w:keepNext w:val="false"/>
        <w:pageBreakBefore w:val="false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Cash-out (Saque):</w:t>
      </w:r>
      <w:r>
        <w:rPr>
          <w:rFonts w:ascii="Google Sans Text;sans-serif" w:hAnsi="Google Sans Text;sans-serif"/>
          <w:color w:val="1F1F1F"/>
        </w:rPr>
        <w:t xml:space="preserve"> Permitido apenas para contas bancárias de mesma titularidade. Cobrança de taxa fixa repassada ao usuário por saque.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BodyText"/>
        <w:keepNext w:val="false"/>
        <w:pageBreakBefore w:val="false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5.2 Estrutura de Saldos na Carteira: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BodyText"/>
        <w:widowControl/>
        <w:bidi w:val="0"/>
        <w:spacing w:lineRule="auto" w:line="274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$$\text{Patrimônio Total} = \text{Saldo Disponível} + \text{Saldo Reservado} + \sum (\text{Qtd. Ações} \times \text{Cotação Atual})$$</w:t>
      </w:r>
    </w:p>
    <w:p>
      <w:pPr>
        <w:pStyle w:val="BodyText"/>
        <w:keepNext w:val="false"/>
        <w:pageBreakBefore w:val="false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5.3 Extratos e Relatórios: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/>
      </w:pPr>
      <w:r>
        <w:rPr/>
      </w:r>
    </w:p>
    <w:p>
      <w:pPr>
        <w:pStyle w:val="BodyText"/>
        <w:keepNext w:val="false"/>
        <w:pageBreakBefore w:val="false"/>
        <w:widowControl/>
        <w:numPr>
          <w:ilvl w:val="1"/>
          <w:numId w:val="6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 xml:space="preserve">Emissão de </w:t>
      </w:r>
      <w:r>
        <w:rPr>
          <w:rFonts w:ascii="Google Sans Text;sans-serif" w:hAnsi="Google Sans Text;sans-serif"/>
          <w:b/>
          <w:color w:val="1F1F1F"/>
        </w:rPr>
        <w:t>Nota de Corretagem</w:t>
      </w:r>
      <w:r>
        <w:rPr>
          <w:rFonts w:ascii="Google Sans Text;sans-serif" w:hAnsi="Google Sans Text;sans-serif"/>
          <w:color w:val="1F1F1F"/>
        </w:rPr>
        <w:t xml:space="preserve"> individual para cada negociação efetuada, detalhando valor unitário, quantidade, valor total, contraparte (criptografada/anonimizada) e taxa de 1%.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BodyText"/>
        <w:keepNext w:val="false"/>
        <w:pageBreakBefore w:val="false"/>
        <w:widowControl/>
        <w:numPr>
          <w:ilvl w:val="1"/>
          <w:numId w:val="6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Relatório de Posição Consolidada e Extrato de Movimentações exportável em PDF e CSV para fins de Imposto de Renda.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Heading3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>Módulo 6: Governança, Compliance e Perfis de Acesso (RBAC)</w:t>
      </w:r>
    </w:p>
    <w:p>
      <w:pPr>
        <w:pStyle w:val="BodyText"/>
        <w:keepNext w:val="false"/>
        <w:pageBreakBefore w:val="false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6.1 Camada de Identificação (KYC / KYB):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/>
      </w:pPr>
      <w:r>
        <w:rPr/>
      </w:r>
    </w:p>
    <w:p>
      <w:pPr>
        <w:pStyle w:val="BodyText"/>
        <w:keepNext w:val="false"/>
        <w:pageBreakBefore w:val="false"/>
        <w:widowControl/>
        <w:numPr>
          <w:ilvl w:val="1"/>
          <w:numId w:val="7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KYC (Investidor):</w:t>
      </w:r>
      <w:r>
        <w:rPr>
          <w:rFonts w:ascii="Google Sans Text;sans-serif" w:hAnsi="Google Sans Text;sans-serif"/>
          <w:color w:val="1F1F1F"/>
        </w:rPr>
        <w:t xml:space="preserve"> Validação automatizada de CPF junto à Receita Federal, verificação de dados cadastrais e validação de chaves PIX.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BodyText"/>
        <w:keepNext w:val="false"/>
        <w:pageBreakBefore w:val="false"/>
        <w:widowControl/>
        <w:numPr>
          <w:ilvl w:val="1"/>
          <w:numId w:val="7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KYB (Clube):</w:t>
      </w:r>
      <w:r>
        <w:rPr>
          <w:rFonts w:ascii="Google Sans Text;sans-serif" w:hAnsi="Google Sans Text;sans-serif"/>
          <w:color w:val="1F1F1F"/>
        </w:rPr>
        <w:t xml:space="preserve"> Validação de CNPJ, verificação de contrato social/estatuto, poderes de representação dos diretores e assinatura digital de termos operacionais.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BodyText"/>
        <w:keepNext w:val="false"/>
        <w:pageBreakBefore w:val="false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6.2 Matriz de Permissões: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tbl>
      <w:tblPr>
        <w:tblW w:w="9638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4526"/>
        <w:gridCol w:w="1252"/>
        <w:gridCol w:w="772"/>
        <w:gridCol w:w="3088"/>
      </w:tblGrid>
      <w:tr>
        <w:trPr>
          <w:tblHeader w:val="true"/>
        </w:trPr>
        <w:tc>
          <w:tcPr>
            <w:tcW w:w="45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Funcionalidade</w:t>
            </w:r>
          </w:p>
        </w:tc>
        <w:tc>
          <w:tcPr>
            <w:tcW w:w="125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Investidor</w:t>
            </w:r>
          </w:p>
        </w:tc>
        <w:tc>
          <w:tcPr>
            <w:tcW w:w="77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Clube</w:t>
            </w:r>
          </w:p>
        </w:tc>
        <w:tc>
          <w:tcPr>
            <w:tcW w:w="308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Administrador / Compliance</w:t>
            </w:r>
          </w:p>
        </w:tc>
      </w:tr>
      <w:tr>
        <w:trPr/>
        <w:tc>
          <w:tcPr>
            <w:tcW w:w="45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Solicitar Abertura de IPO</w:t>
            </w:r>
          </w:p>
        </w:tc>
        <w:tc>
          <w:tcPr>
            <w:tcW w:w="125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color w:val="1F1F1F"/>
              </w:rPr>
            </w:pPr>
            <w:r>
              <w:rPr>
                <w:color w:val="1F1F1F"/>
              </w:rPr>
              <w:t>—</w:t>
            </w:r>
          </w:p>
        </w:tc>
        <w:tc>
          <w:tcPr>
            <w:tcW w:w="77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08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5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Aprovar/Rejeitar Lançamento de IPO</w:t>
            </w:r>
          </w:p>
        </w:tc>
        <w:tc>
          <w:tcPr>
            <w:tcW w:w="125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color w:val="1F1F1F"/>
              </w:rPr>
            </w:pPr>
            <w:r>
              <w:rPr>
                <w:color w:val="1F1F1F"/>
              </w:rPr>
              <w:t>—</w:t>
            </w:r>
          </w:p>
        </w:tc>
        <w:tc>
          <w:tcPr>
            <w:tcW w:w="77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color w:val="1F1F1F"/>
              </w:rPr>
            </w:pPr>
            <w:r>
              <w:rPr>
                <w:color w:val="1F1F1F"/>
              </w:rPr>
              <w:t>—</w:t>
            </w:r>
          </w:p>
        </w:tc>
        <w:tc>
          <w:tcPr>
            <w:tcW w:w="308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5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Comprar/Vender no Pregão</w:t>
            </w:r>
          </w:p>
        </w:tc>
        <w:tc>
          <w:tcPr>
            <w:tcW w:w="125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7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color w:val="1F1F1F"/>
              </w:rPr>
            </w:pPr>
            <w:r>
              <w:rPr>
                <w:color w:val="1F1F1F"/>
              </w:rPr>
              <w:t>—</w:t>
            </w:r>
          </w:p>
        </w:tc>
        <w:tc>
          <w:tcPr>
            <w:tcW w:w="308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color w:val="1F1F1F"/>
              </w:rPr>
            </w:pPr>
            <w:r>
              <w:rPr>
                <w:color w:val="1F1F1F"/>
              </w:rPr>
              <w:t>—</w:t>
            </w:r>
          </w:p>
        </w:tc>
      </w:tr>
      <w:tr>
        <w:trPr/>
        <w:tc>
          <w:tcPr>
            <w:tcW w:w="45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Depósitos e Saques PIX</w:t>
            </w:r>
          </w:p>
        </w:tc>
        <w:tc>
          <w:tcPr>
            <w:tcW w:w="125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7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color w:val="1F1F1F"/>
              </w:rPr>
            </w:pPr>
            <w:r>
              <w:rPr>
                <w:color w:val="1F1F1F"/>
              </w:rPr>
              <w:t>—</w:t>
            </w:r>
          </w:p>
        </w:tc>
        <w:tc>
          <w:tcPr>
            <w:tcW w:w="308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color w:val="1F1F1F"/>
              </w:rPr>
            </w:pPr>
            <w:r>
              <w:rPr>
                <w:color w:val="1F1F1F"/>
              </w:rPr>
              <w:t>—</w:t>
            </w:r>
          </w:p>
        </w:tc>
      </w:tr>
      <w:tr>
        <w:trPr/>
        <w:tc>
          <w:tcPr>
            <w:tcW w:w="45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Pausar/Congelar Negociação (Circuit Breaker)</w:t>
            </w:r>
          </w:p>
        </w:tc>
        <w:tc>
          <w:tcPr>
            <w:tcW w:w="125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color w:val="1F1F1F"/>
              </w:rPr>
            </w:pPr>
            <w:r>
              <w:rPr>
                <w:color w:val="1F1F1F"/>
              </w:rPr>
              <w:t>—</w:t>
            </w:r>
          </w:p>
        </w:tc>
        <w:tc>
          <w:tcPr>
            <w:tcW w:w="77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color w:val="1F1F1F"/>
              </w:rPr>
            </w:pPr>
            <w:r>
              <w:rPr>
                <w:color w:val="1F1F1F"/>
              </w:rPr>
              <w:t>—</w:t>
            </w:r>
          </w:p>
        </w:tc>
        <w:tc>
          <w:tcPr>
            <w:tcW w:w="308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52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Gestão de Parâmetros Globais e Taxas</w:t>
            </w:r>
          </w:p>
        </w:tc>
        <w:tc>
          <w:tcPr>
            <w:tcW w:w="125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color w:val="1F1F1F"/>
              </w:rPr>
            </w:pPr>
            <w:r>
              <w:rPr>
                <w:color w:val="1F1F1F"/>
              </w:rPr>
              <w:t>—</w:t>
            </w:r>
          </w:p>
        </w:tc>
        <w:tc>
          <w:tcPr>
            <w:tcW w:w="77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color w:val="1F1F1F"/>
              </w:rPr>
            </w:pPr>
            <w:r>
              <w:rPr>
                <w:color w:val="1F1F1F"/>
              </w:rPr>
              <w:t>—</w:t>
            </w:r>
          </w:p>
        </w:tc>
        <w:tc>
          <w:tcPr>
            <w:tcW w:w="308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dodatabela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keepNext w:val="false"/>
        <w:pageBreakBefore w:val="false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6.3 Trilha de Auditoria (Audit Log):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/>
      </w:pPr>
      <w:r>
        <w:rPr/>
      </w:r>
    </w:p>
    <w:p>
      <w:pPr>
        <w:pStyle w:val="BodyText"/>
        <w:keepNext w:val="false"/>
        <w:pageBreakBefore w:val="false"/>
        <w:widowControl/>
        <w:numPr>
          <w:ilvl w:val="1"/>
          <w:numId w:val="8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Registro imutável de log contendo ID do usuário, IP, dispositivo, data/hora e ação realizada para todos os eventos financeiros, ordens de compra/venda, alterações cadastrais e aprovações administrativas.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Google Sans">
    <w:altName w:val="sans-serif"/>
    <w:charset w:val="00" w:characterSet="windows-1252"/>
    <w:family w:val="auto"/>
    <w:pitch w:val="default"/>
  </w:font>
  <w:font w:name="Google Sans Text">
    <w:altName w:val="sans-serif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start"/>
      <w:pPr>
        <w:tabs>
          <w:tab w:val="num" w:pos="0"/>
        </w:tabs>
        <w:ind w:start="0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LibreOffice/25.2.7.2$Windows_X86_64 LibreOffice_project/5cbfd1ab6520636bb5f7b99185aa69bd7456825d</Application>
  <AppVersion>15.0000</AppVersion>
  <Pages>5</Pages>
  <Words>1207</Words>
  <Characters>6517</Characters>
  <CharactersWithSpaces>7520</CharactersWithSpaces>
  <Paragraphs>159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2026-10-05T12:20:05Z</dcterms:created>
  <dc:creator/>
  <dc:description/>
  <dc:language>pt-BR</dc:language>
  <cp:lastModifiedBy/>
  <dcterms:modified xsi:type="dcterms:W3CDTF">2026-10-05T12:22:28Z</dcterms:modified>
  <cp:revision>1</cp:revision>
  <dc:subject/>
  <dc:title/>
</cp:coreProperties>
</file>