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fldChar w:fldCharType="begin"/>
        <w:instrText xml:space="preserve"> DOCPROPERTY "Company"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La Salle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Detección de Plagio Académico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Plan de Iteración 1</w:t>
      </w:r>
    </w:p>
    <w:p w:rsidR="00000000" w:rsidDel="00000000" w:rsidP="00000000" w:rsidRDefault="00000000" w:rsidRPr="00000000" w14:paraId="00000009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i w:val="1"/>
          <w:color w:val="0000ff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  <w:t xml:space="preserve">Plan de Iteración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4"/>
        </w:numPr>
        <w:ind w:left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El presente documento aborda la iteración 1 del proyecto PlagiTracker, iniciando el desarrollo del sistema para el docente.</w:t>
      </w:r>
    </w:p>
    <w:p w:rsidR="00000000" w:rsidDel="00000000" w:rsidP="00000000" w:rsidRDefault="00000000" w:rsidRPr="00000000" w14:paraId="0000001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4"/>
        </w:numPr>
        <w:ind w:left="0"/>
        <w:rPr>
          <w:rFonts w:ascii="Arial" w:cs="Arial" w:eastAsia="Arial" w:hAnsi="Arial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Parte del desarrollo de software que se encarga de la lógica de negocio y el manejo de la base de datos. Es el "lado del servidor" y realiza la mayoría de los cálculos, procesamiento y operaciones que el usuario no ve directamente. Maneja solicitudes de los usuarios, interacción con bases de datos y servicios externos.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Parte del desarrollo de software que se encarga de la interfaz de usuario y la experiencia visual. Es el "lado del cliente" y abarca el diseño, interactividad y usabilidad. Se enfoca en la presentación y experiencia del usuario con el sistema a través de navegadores web o aplicaciones móviles.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UI (User Interface)</w:t>
      </w:r>
      <w:r w:rsidDel="00000000" w:rsidR="00000000" w:rsidRPr="00000000">
        <w:rPr>
          <w:rtl w:val="0"/>
        </w:rPr>
        <w:t xml:space="preserve">: Diseño de interfaces de usuario. Se centra en la disposición visual, los elementos interactivos y la estética de una aplicación o sitio web.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UX (User Experience)</w:t>
      </w:r>
      <w:r w:rsidDel="00000000" w:rsidR="00000000" w:rsidRPr="00000000">
        <w:rPr>
          <w:rtl w:val="0"/>
        </w:rPr>
        <w:t xml:space="preserve">: Experiencia de usuario. Se refiere a cómo los usuarios interactúan con un sistema, buscando mejorar la satisfacción y facilitar el uso del producto.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SAD (Software Architecture Document)</w:t>
      </w:r>
      <w:r w:rsidDel="00000000" w:rsidR="00000000" w:rsidRPr="00000000">
        <w:rPr>
          <w:rtl w:val="0"/>
        </w:rPr>
        <w:t xml:space="preserve">: Documento que describe en detalle la arquitectura del software, incluyendo los módulos, componentes, diagramas de arquitectura, flujo de datos y otros elementos clave del sistema. Su propósito es proporcionar una guía clara sobre la estructura, funcionalidades y requisitos del software para los desarrolladores, analistas y otros miembros del equipo de trabajo.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También conocido como enlace o hipervínculo, es un elemento en un documento o página web que permite redirigir a otra ubicación dentro del mismo documento, a otro documento o a una página web diferente.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El listado de casos de uso a implementar y probar en esta iteración es el siguiente: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docentes y alumnos.</w:t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de docentes y alumnos.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plagio.</w:t>
      </w:r>
    </w:p>
    <w:p w:rsidR="00000000" w:rsidDel="00000000" w:rsidP="00000000" w:rsidRDefault="00000000" w:rsidRPr="00000000" w14:paraId="00000022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Recursos</w:t>
      </w:r>
    </w:p>
    <w:tbl>
      <w:tblPr>
        <w:tblStyle w:val="Table1"/>
        <w:tblW w:w="8505.0" w:type="dxa"/>
        <w:jc w:val="left"/>
        <w:tblInd w:w="70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678"/>
        <w:gridCol w:w="3827"/>
        <w:tblGridChange w:id="0">
          <w:tblGrid>
            <w:gridCol w:w="4678"/>
            <w:gridCol w:w="382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Isabel Karina Ttito Campos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Jefe Analista, desarrollador Frontend.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Luisfelipe Rodrigo Mamani Arosquipa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Jefe desarrollador Full Stack.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Luis Fernando Luque Nieto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Aron Josue Hurtado Cruz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Gestor de calidad, desarrollador Backend, analista.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Olger Antonio Jose Quispe Vilca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Diseñador UI/UX, asistente de desarrollo Frontend.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Jorge Luis Olivera Ticona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Frontend.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Karlo Emigdio Pacha Curimayhua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desarrollador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Elmerson Ramith Portugal Carpio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Backend, asistente analista.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70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678"/>
        <w:gridCol w:w="3827"/>
        <w:tblGridChange w:id="0">
          <w:tblGrid>
            <w:gridCol w:w="4678"/>
            <w:gridCol w:w="382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Entidades de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980468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a los miembros del personal académico encargados de la enseñanza y supervisión de los alumnos, así como de la revisión de sus asignaturas.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a los estudiantes que están inscritos en los cursos y son responsables de compartir los links de sus asignaciones de programación.</w:t>
            </w:r>
          </w:p>
        </w:tc>
      </w:tr>
      <w:tr>
        <w:trPr>
          <w:cantSplit w:val="0"/>
          <w:trHeight w:val="199.980468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las materias o unidades de enseñanza en las que los alumnos están inscritos y los docentes asignan tareas y evaluaciones.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o evaluaciones entregadas por los alumnos para su posterior revisión con el sistema Plagitracker.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70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678"/>
        <w:gridCol w:w="3827"/>
        <w:tblGridChange w:id="0">
          <w:tblGrid>
            <w:gridCol w:w="4678"/>
            <w:gridCol w:w="38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(hardware, ambientes)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Dispositivo móvil (opcional)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Este componente se refiere a teléfonos inteligentes o tabletas que pueden utilizarse para acceder al sistema PlagiTracker, ya que la aplicación web es responsiva y se adapta adecuadamente a diferentes tamaños de pantalla y resoluciones.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70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5954"/>
        <w:gridCol w:w="2551"/>
        <w:tblGridChange w:id="0">
          <w:tblGrid>
            <w:gridCol w:w="5954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culminación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casos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22/09/2024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22/09/2024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Ciclo 1: Corrección de defectos / Implementación de cambios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Ciclo 1: Realización de pruebas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25/09/2024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70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Módulo web docente(módulos del sistema según SAD)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Módulo web alumno.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Aplicación Backend Plagitracker.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Criterios de Evaluación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deben cumplir los siguientes criterios de evaluación: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Cumplir con las pruebas de sistema realizadas para esta iteración.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Cumplir con las pruebas unitarias desarrolladas para esta iteración. Tales pruebas deben ser ejecutadas desde una suite de pruebas.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Pasar las revisiones externas realizadas por otros equipos.</w:t>
      </w:r>
    </w:p>
    <w:p w:rsidR="00000000" w:rsidDel="00000000" w:rsidP="00000000" w:rsidRDefault="00000000" w:rsidRPr="00000000" w14:paraId="00000060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Supuestos y restricciones </w:t>
      </w:r>
    </w:p>
    <w:p w:rsidR="00000000" w:rsidDel="00000000" w:rsidP="00000000" w:rsidRDefault="00000000" w:rsidRPr="00000000" w14:paraId="000000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-Se está utilizando datos simulados en  todas las entidades de datos.</w:t>
      </w:r>
    </w:p>
    <w:p w:rsidR="00000000" w:rsidDel="00000000" w:rsidP="00000000" w:rsidRDefault="00000000" w:rsidRPr="00000000" w14:paraId="0000006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-Se dará ejecución del aplicativo mediante un despliegue local.</w:t>
      </w:r>
    </w:p>
    <w:p w:rsidR="00000000" w:rsidDel="00000000" w:rsidP="00000000" w:rsidRDefault="00000000" w:rsidRPr="00000000" w14:paraId="0000006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-El caso de uso: Entrega de tarea:</w:t>
      </w:r>
    </w:p>
    <w:p w:rsidR="00000000" w:rsidDel="00000000" w:rsidP="00000000" w:rsidRDefault="00000000" w:rsidRPr="00000000" w14:paraId="00000065">
      <w:pPr>
        <w:keepLines w:val="1"/>
        <w:numPr>
          <w:ilvl w:val="0"/>
          <w:numId w:val="5"/>
        </w:numPr>
        <w:spacing w:after="120" w:lineRule="auto"/>
        <w:ind w:left="2160" w:hanging="360"/>
      </w:pPr>
      <w:r w:rsidDel="00000000" w:rsidR="00000000" w:rsidRPr="00000000">
        <w:rPr>
          <w:rtl w:val="0"/>
        </w:rPr>
        <w:t xml:space="preserve">La entrega de tarea contempla la validación de las URL de “Codiva”.</w:t>
      </w:r>
    </w:p>
    <w:p w:rsidR="00000000" w:rsidDel="00000000" w:rsidP="00000000" w:rsidRDefault="00000000" w:rsidRPr="00000000" w14:paraId="00000066">
      <w:pPr>
        <w:keepLines w:val="1"/>
        <w:spacing w:after="12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6"/>
      <w:tblW w:w="9631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631"/>
      <w:tblGridChange w:id="0">
        <w:tblGrid>
          <w:gridCol w:w="96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Plan de Iteración 1</w:t>
          </w:r>
        </w:p>
      </w:tc>
    </w:tr>
  </w:tbl>
  <w:p w:rsidR="00000000" w:rsidDel="00000000" w:rsidP="00000000" w:rsidRDefault="00000000" w:rsidRPr="00000000" w14:paraId="0000006B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ttitoc@ulasalle.edu.pe" TargetMode="External"/><Relationship Id="rId10" Type="http://schemas.openxmlformats.org/officeDocument/2006/relationships/footer" Target="footer1.xml"/><Relationship Id="rId13" Type="http://schemas.openxmlformats.org/officeDocument/2006/relationships/hyperlink" Target="mailto:lluquen@ulasalle.edu.pe" TargetMode="External"/><Relationship Id="rId12" Type="http://schemas.openxmlformats.org/officeDocument/2006/relationships/hyperlink" Target="mailto:lmamania@ulasalle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mailto:oquispev@ulasalle.edu.pe" TargetMode="External"/><Relationship Id="rId14" Type="http://schemas.openxmlformats.org/officeDocument/2006/relationships/hyperlink" Target="mailto:ahurtadoc@ulasalle.edu.pe" TargetMode="External"/><Relationship Id="rId17" Type="http://schemas.openxmlformats.org/officeDocument/2006/relationships/hyperlink" Target="mailto:kpachac@ulasalle.edu.pe" TargetMode="External"/><Relationship Id="rId16" Type="http://schemas.openxmlformats.org/officeDocument/2006/relationships/hyperlink" Target="mailto:joliverat@ulasalle.edu.pe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hyperlink" Target="mailto:eportugalc@ulasalle.edu.pe" TargetMode="Externa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