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客户数据导出补充规范</w:t>
      </w:r>
    </w:p>
    <w:p>
      <w:r>
        <w:t>本规范用于补充客户名单导出的审批、留存和审计要求。</w:t>
      </w:r>
    </w:p>
    <w:p>
      <w:r>
        <w:t>导出完整客户名单前，业务申请人必须获得区域经理审批，并在工单中保留审批记录。</w:t>
      </w:r>
    </w:p>
    <w:p>
      <w:r>
        <w:t>导出文件的默认保存期限为 7 天，到期后应按流程删除。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风险等级</w:t>
            </w:r>
          </w:p>
        </w:tc>
        <w:tc>
          <w:tcPr>
            <w:tcW w:type="dxa" w:w="2880"/>
          </w:tcPr>
          <w:p>
            <w:r>
              <w:t>控制要求</w:t>
            </w:r>
          </w:p>
        </w:tc>
        <w:tc>
          <w:tcPr>
            <w:tcW w:type="dxa" w:w="2880"/>
          </w:tcPr>
          <w:p>
            <w:r>
              <w:t>建议动作</w:t>
            </w:r>
          </w:p>
        </w:tc>
      </w:tr>
      <w:tr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未审批导出客户名单</w:t>
            </w:r>
          </w:p>
        </w:tc>
        <w:tc>
          <w:tcPr>
            <w:tcW w:type="dxa" w:w="2880"/>
          </w:tcPr>
          <w:p>
            <w:r>
              <w:t>立即停止导出并补充审批记录</w:t>
            </w:r>
          </w:p>
        </w:tc>
      </w:tr>
      <w:tr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导出文件保存超过 7 天</w:t>
            </w:r>
          </w:p>
        </w:tc>
        <w:tc>
          <w:tcPr>
            <w:tcW w:type="dxa" w:w="2880"/>
          </w:tcPr>
          <w:p>
            <w:r>
              <w:t>删除过期文件并保留处置记录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