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108" w:rsidRDefault="00520E0C">
      <w:r>
        <w:t>Capstone Project 1</w:t>
      </w:r>
    </w:p>
    <w:p w:rsidR="005F1108" w:rsidRDefault="00520E0C">
      <w:r>
        <w:t>Spring Board Data Science Career Track</w:t>
      </w:r>
    </w:p>
    <w:p w:rsidR="005F1108" w:rsidRDefault="00520E0C">
      <w:r>
        <w:t>Laura Gascue</w:t>
      </w:r>
    </w:p>
    <w:p w:rsidR="005F1108" w:rsidRDefault="00520E0C">
      <w:r>
        <w:t>April, 2020</w:t>
      </w:r>
    </w:p>
    <w:p w:rsidR="005F1108" w:rsidRDefault="005F1108"/>
    <w:p w:rsidR="005F1108" w:rsidRDefault="00520E0C">
      <w:pPr>
        <w:pStyle w:val="Heading2"/>
        <w:jc w:val="center"/>
      </w:pPr>
      <w:r>
        <w:t>Are Individual Health Insurance Markets Competitive? Plan Options Faced by Individuals</w:t>
      </w:r>
    </w:p>
    <w:p w:rsidR="005F1108" w:rsidRDefault="00520E0C">
      <w:pPr>
        <w:pStyle w:val="Heading2"/>
      </w:pPr>
      <w:r>
        <w:t>Introduction</w:t>
      </w:r>
    </w:p>
    <w:p w:rsidR="005F1108" w:rsidRDefault="00520E0C">
      <w:pPr>
        <w:spacing w:before="240" w:after="240"/>
      </w:pPr>
      <w:r>
        <w:t xml:space="preserve">Since 2014, with the Affordable Care Act (ACA), individuals without access to health care insurance through employment, can purchase one in the Health Insurance Marketplace. The system was created to define a set of minimum coverage standards at affordable cost, aiming to widely expand access to health insurance. The mechanism to achieve this relies on a set of regulations placed on insurers and on market competition. </w:t>
      </w:r>
      <w:sdt>
        <w:sdtPr>
          <w:tag w:val="goog_rdk_0"/>
          <w:id w:val="-1081220423"/>
        </w:sdtPr>
        <w:sdtEndPr/>
        <w:sdtContent/>
      </w:sdt>
      <w:r>
        <w:t>The question we explore here is, are these markets competitive?</w:t>
      </w:r>
    </w:p>
    <w:p w:rsidR="005F1108" w:rsidRDefault="00520E0C">
      <w:pPr>
        <w:spacing w:before="240" w:after="240"/>
      </w:pPr>
      <w:r>
        <w:t xml:space="preserve">There are many aspects involved in evaluating market competition. In this article we limit the analysis to the observed final result: </w:t>
      </w:r>
      <w:sdt>
        <w:sdtPr>
          <w:tag w:val="goog_rdk_1"/>
          <w:id w:val="-790358560"/>
        </w:sdtPr>
        <w:sdtEndPr/>
        <w:sdtContent/>
      </w:sdt>
      <w:r>
        <w:t xml:space="preserve">how many options an individual faces when choosing health insurance in the Insurance Exchange Marketplace, where plans offered have guarantees </w:t>
      </w:r>
      <w:proofErr w:type="gramStart"/>
      <w:r>
        <w:t>in</w:t>
      </w:r>
      <w:proofErr w:type="gramEnd"/>
      <w:r>
        <w:t xml:space="preserve"> terms of coverage and premiums. </w:t>
      </w:r>
      <w:sdt>
        <w:sdtPr>
          <w:tag w:val="goog_rdk_2"/>
          <w:id w:val="1946653532"/>
        </w:sdtPr>
        <w:sdtEndPr/>
        <w:sdtContent/>
      </w:sdt>
      <w:r>
        <w:t>First we look at the distribution of the number of plans offered, and explore correlations with geographic area characteristics. Second, we consider relevant factors that could be used to explain these measures. We look at state and governors’ political affiliation, population size, unemployment level, number of health professionals or health facilities available in the area, population age and population income, among other variables. Finally we</w:t>
      </w:r>
      <w:sdt>
        <w:sdtPr>
          <w:tag w:val="goog_rdk_3"/>
          <w:id w:val="2074163917"/>
        </w:sdtPr>
        <w:sdtEndPr/>
        <w:sdtContent/>
      </w:sdt>
      <w:r>
        <w:t xml:space="preserve"> try to predict the number of health insurance plans offered in the marketplace for individuals using geographic area characteristics.</w:t>
      </w:r>
    </w:p>
    <w:p w:rsidR="005F1108" w:rsidRDefault="00520E0C">
      <w:pPr>
        <w:spacing w:before="240" w:after="240"/>
      </w:pPr>
      <w:r>
        <w:t xml:space="preserve">We take a look at all health insurance plans being offered in the US in 2018 through the federally facilitated market place. There are 39 states under the federal program. An individual will have access to the plans offered in the area they live (offered in their county). We compute the number of plans being offered in each FIPS county code area on those states and use it as a measure of the level of competition in that market. </w:t>
      </w:r>
    </w:p>
    <w:p w:rsidR="005F1108" w:rsidRDefault="005F1108">
      <w:pPr>
        <w:spacing w:before="240" w:after="240"/>
      </w:pPr>
    </w:p>
    <w:p w:rsidR="005F1108" w:rsidRDefault="000E6053">
      <w:pPr>
        <w:pStyle w:val="Heading2"/>
      </w:pPr>
      <w:sdt>
        <w:sdtPr>
          <w:tag w:val="goog_rdk_4"/>
          <w:id w:val="1612008076"/>
        </w:sdtPr>
        <w:sdtEndPr/>
        <w:sdtContent/>
      </w:sdt>
      <w:r w:rsidR="00520E0C">
        <w:t>Data Sources</w:t>
      </w:r>
    </w:p>
    <w:p w:rsidR="005F1108" w:rsidRDefault="00520E0C">
      <w:pPr>
        <w:spacing w:before="240" w:after="240"/>
      </w:pPr>
      <w:r>
        <w:t>For this project we are combining three different data sources: a) a list of Individual Market Health Insurance Plans, b) socioeconomic indicators at the county level, and c) a table with State Governor’s political party affiliations.</w:t>
      </w:r>
    </w:p>
    <w:p w:rsidR="005F1108" w:rsidRDefault="00520E0C">
      <w:pPr>
        <w:spacing w:before="240" w:after="240"/>
      </w:pPr>
      <w:r>
        <w:lastRenderedPageBreak/>
        <w:t>The Centers for Medicare &amp; Medicaid Services uploads health insurance plan information on all federally facilitated marketplace through the</w:t>
      </w:r>
      <w:hyperlink r:id="rId7">
        <w:r>
          <w:t xml:space="preserve"> </w:t>
        </w:r>
      </w:hyperlink>
      <w:hyperlink r:id="rId8">
        <w:r>
          <w:rPr>
            <w:color w:val="1155CC"/>
            <w:u w:val="single"/>
          </w:rPr>
          <w:t>healthcare.gov</w:t>
        </w:r>
      </w:hyperlink>
      <w:r>
        <w:t xml:space="preserve"> website. The latest complete data available corresponds to the plans available in 2018 (the data can be downloaded from </w:t>
      </w:r>
      <w:hyperlink r:id="rId9">
        <w:r>
          <w:rPr>
            <w:color w:val="1155CC"/>
            <w:u w:val="single"/>
          </w:rPr>
          <w:t>2018 QHP landscape data</w:t>
        </w:r>
      </w:hyperlink>
      <w:r>
        <w:rPr>
          <w:color w:val="1155CC"/>
          <w:u w:val="single"/>
        </w:rPr>
        <w:t>)</w:t>
      </w:r>
      <w:r>
        <w:t>. The file comes in csv format, with variable names on the first row of the file.</w:t>
      </w:r>
    </w:p>
    <w:p w:rsidR="005F1108" w:rsidRDefault="00520E0C">
      <w:pPr>
        <w:spacing w:before="240" w:after="240"/>
        <w:rPr>
          <w:sz w:val="21"/>
          <w:szCs w:val="21"/>
          <w:highlight w:val="white"/>
        </w:rPr>
      </w:pPr>
      <w:r>
        <w:t xml:space="preserve">The analysis is limited to the states running under the federal government in 2018, and the set of qualified health plans (QHP) offered. Some states, like California with Covered California, chose to run their own Marketplace. The original file has 39,348 rows and a large number of columns. We only read in a subset of columns, containing plan identification variables, plan type, geographic area where offered (at the FIPS County Code Level), and plan premiums, a total of 16 columns. The database cover 39 states: </w:t>
      </w:r>
      <w:r>
        <w:rPr>
          <w:sz w:val="21"/>
          <w:szCs w:val="21"/>
          <w:highlight w:val="white"/>
        </w:rPr>
        <w:t>AK, AL, FL, AR, AZ, DE, GA, IL, MI, HI, MO, IA, IN, MS, KS, KY, LA, ME, MT, PA, ND, NJ, NE, NM, NH, NC, OR, WI, NV, OH, OK, SD, SC, VA, TX, TN, UT, WV, WY. The number of total distinct plans offered is 2,722.</w:t>
      </w:r>
    </w:p>
    <w:p w:rsidR="005F1108" w:rsidRDefault="00520E0C">
      <w:pPr>
        <w:spacing w:before="240" w:after="240"/>
      </w:pPr>
      <w:r>
        <w:t>The second database we use contains population demographic and health data for the US at the county level. The HRSA Data Warehouse gives access to a dataset with population demographic and health related information through their website (data.HRSA.gov). For this analysis we use the Area Health Resource File (AHRF) database for 2018-2019 (</w:t>
      </w:r>
      <w:hyperlink r:id="rId10">
        <w:r>
          <w:rPr>
            <w:color w:val="1155CC"/>
            <w:u w:val="single"/>
          </w:rPr>
          <w:t>https://data.hrsa.gov/data/download</w:t>
        </w:r>
      </w:hyperlink>
      <w:r>
        <w:t>), US Department of Health and Human Services, Health Resources and Services Administration, Bureau of Health Workforce, Rockville, MD). This file is available in ASCII and SAS formats. It contains a total of 7,147 variables and 3,230 records.</w:t>
      </w:r>
    </w:p>
    <w:p w:rsidR="005F1108" w:rsidRDefault="000E6053">
      <w:pPr>
        <w:spacing w:before="240" w:after="240"/>
      </w:pPr>
      <w:sdt>
        <w:sdtPr>
          <w:tag w:val="goog_rdk_5"/>
          <w:id w:val="447518855"/>
        </w:sdtPr>
        <w:sdtEndPr/>
        <w:sdtContent/>
      </w:sdt>
      <w:r w:rsidR="00520E0C">
        <w:t xml:space="preserve">Some of the variables we plan to consider are the following: ‘Population Estimate 2017’, ’Population Density per </w:t>
      </w:r>
      <w:proofErr w:type="spellStart"/>
      <w:r w:rsidR="00520E0C">
        <w:t>Sq</w:t>
      </w:r>
      <w:proofErr w:type="spellEnd"/>
      <w:r w:rsidR="00520E0C">
        <w:t xml:space="preserve"> Mile 2010’, ‘Percent of Persons Age 0-17 in </w:t>
      </w:r>
      <w:proofErr w:type="spellStart"/>
      <w:r w:rsidR="00520E0C">
        <w:t>Pov</w:t>
      </w:r>
      <w:proofErr w:type="spellEnd"/>
      <w:r w:rsidR="00520E0C">
        <w:t xml:space="preserve"> 2017’, ‘</w:t>
      </w:r>
      <w:proofErr w:type="spellStart"/>
      <w:r w:rsidR="00520E0C">
        <w:t>Hlth</w:t>
      </w:r>
      <w:proofErr w:type="spellEnd"/>
      <w:r w:rsidR="00520E0C">
        <w:t xml:space="preserve"> Ins Marketplace Enrollees 2017’, ‘Median Household Income 2017’.</w:t>
      </w:r>
    </w:p>
    <w:p w:rsidR="005F1108" w:rsidRDefault="00520E0C">
      <w:pPr>
        <w:spacing w:before="240" w:after="240"/>
      </w:pPr>
      <w:r>
        <w:t>The last source is a csv file with a list of states and their governor party affiliation at the beginning of 2018. This file was compiled through web searches (All_States_Governors_Party.csv).</w:t>
      </w:r>
    </w:p>
    <w:p w:rsidR="005F1108" w:rsidRDefault="005F1108">
      <w:pPr>
        <w:spacing w:before="240" w:after="240"/>
      </w:pPr>
    </w:p>
    <w:p w:rsidR="005F1108" w:rsidRDefault="000E6053">
      <w:pPr>
        <w:pStyle w:val="Heading2"/>
      </w:pPr>
      <w:sdt>
        <w:sdtPr>
          <w:tag w:val="goog_rdk_6"/>
          <w:id w:val="-869523171"/>
        </w:sdtPr>
        <w:sdtEndPr/>
        <w:sdtContent/>
      </w:sdt>
      <w:r w:rsidR="00520E0C">
        <w:t>Plan Options Distribution</w:t>
      </w:r>
    </w:p>
    <w:p w:rsidR="005F1108" w:rsidRDefault="00520E0C">
      <w:r>
        <w:t>The number of plans offered across all counties participating in the federally mandated markets ranges from 2 to 119, with an average number of 14 plans, and a median of 12 plans. The distribution is concentrated in the lower end with an interquartile range of 11. Half of the counties offered a number of plans between 7 and 18. In order to factor the size of each geographic area, and compare with the options faced by all individuals in those areas we use the 2017 enrollment in these markets. Fig 1 shows the distribution of the number of options faced by individuals in this market.</w:t>
      </w:r>
    </w:p>
    <w:p w:rsidR="005F1108" w:rsidRDefault="005F1108"/>
    <w:p w:rsidR="005F1108" w:rsidRDefault="00520E0C">
      <w:r>
        <w:t xml:space="preserve">However, many of these plans target different individuals and may be offered by the same insurance company (issuer). Taking this into account, we can look at the number of issuers </w:t>
      </w:r>
      <w:r>
        <w:lastRenderedPageBreak/>
        <w:t>participating in each area. The options now are highly reduced. The number of issuers range from 1 to 7, with 75% of the areas having one or two participants. Fig 2 shows the distribution of number of issuer options faced by individuals in this market.</w:t>
      </w:r>
    </w:p>
    <w:p w:rsidR="005F1108" w:rsidRDefault="005F1108"/>
    <w:p w:rsidR="005F1108" w:rsidRDefault="005F1108"/>
    <w:p w:rsidR="005F1108" w:rsidRDefault="00520E0C">
      <w:r>
        <w:rPr>
          <w:noProof/>
          <w:lang w:val="en-US"/>
        </w:rPr>
        <w:drawing>
          <wp:inline distT="0" distB="0" distL="0" distR="0">
            <wp:extent cx="6519863" cy="36195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519863" cy="3619500"/>
                    </a:xfrm>
                    <a:prstGeom prst="rect">
                      <a:avLst/>
                    </a:prstGeom>
                    <a:ln/>
                  </pic:spPr>
                </pic:pic>
              </a:graphicData>
            </a:graphic>
          </wp:inline>
        </w:drawing>
      </w:r>
    </w:p>
    <w:p w:rsidR="005F1108" w:rsidRDefault="00520E0C">
      <w:pPr>
        <w:tabs>
          <w:tab w:val="left" w:pos="7414"/>
        </w:tabs>
      </w:pPr>
      <w:r>
        <w:tab/>
      </w:r>
    </w:p>
    <w:p w:rsidR="005F1108" w:rsidRDefault="00520E0C">
      <w:r>
        <w:t xml:space="preserve">Since we want to predict the number of options an individual faces when searching for health insurance coverage in the ACA Individual Marketplace we combine the three data sources into one </w:t>
      </w:r>
      <w:proofErr w:type="spellStart"/>
      <w:r>
        <w:t>DataFrame</w:t>
      </w:r>
      <w:proofErr w:type="spellEnd"/>
      <w:r>
        <w:t>. Using the list of plans offered within each county, we create two counts, the number of plans available in that area and the count of distinct insurance companies offering those plans. We use county FIPS codes to identify each geographic area, aggregating the source file to have unique entries for each FIPS code.</w:t>
      </w:r>
    </w:p>
    <w:p w:rsidR="005F1108" w:rsidRDefault="005F1108"/>
    <w:p w:rsidR="005F1108" w:rsidRDefault="00520E0C">
      <w:r>
        <w:t>The AHRF is read using a data dictionary with variable names, labels, and position. We select a subset of entries from the dictionary, with descriptions for a selection of variables: FIPS, CBSA name, CBSA type and status indicators, state, number of hospitals in the area, population, number of enrollees in the individual market, unemployment rate, and median income. All variables area measured in 2017. Numeric variables need to be converted after the data frame is created, and the unemployment variable is adjusted to represent a percentage.</w:t>
      </w:r>
    </w:p>
    <w:p w:rsidR="005F1108" w:rsidRDefault="005F1108"/>
    <w:p w:rsidR="005F1108" w:rsidRDefault="00520E0C">
      <w:pPr>
        <w:jc w:val="center"/>
      </w:pPr>
      <w:r>
        <w:rPr>
          <w:noProof/>
          <w:lang w:val="en-US"/>
        </w:rPr>
        <w:lastRenderedPageBreak/>
        <w:drawing>
          <wp:inline distT="0" distB="0" distL="0" distR="0">
            <wp:extent cx="4605506" cy="2866141"/>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605506" cy="2866141"/>
                    </a:xfrm>
                    <a:prstGeom prst="rect">
                      <a:avLst/>
                    </a:prstGeom>
                    <a:ln/>
                  </pic:spPr>
                </pic:pic>
              </a:graphicData>
            </a:graphic>
          </wp:inline>
        </w:drawing>
      </w:r>
    </w:p>
    <w:p w:rsidR="005F1108" w:rsidRDefault="005F1108">
      <w:pPr>
        <w:jc w:val="center"/>
      </w:pPr>
    </w:p>
    <w:p w:rsidR="005F1108" w:rsidRDefault="005F1108"/>
    <w:p w:rsidR="005F1108" w:rsidRDefault="00520E0C">
      <w:r>
        <w:t>One could presume that as there are potentially more enrollees in an area, that market will be more attractive to health insurance companies. As companies negotiate with health providers in the area, a larger pull of patients can lead to lower costs. This make the market more attractive to insurers, with potentially higher profits. Population income level in the area can also play a role in the number of plans offered. Areas with higher income can support higher coverage, with higher premiums and potentially higher profits for insurers.</w:t>
      </w:r>
    </w:p>
    <w:p w:rsidR="005F1108" w:rsidRDefault="005F1108"/>
    <w:p w:rsidR="005F1108" w:rsidRDefault="00520E0C">
      <w:r>
        <w:t xml:space="preserve">We look at scatter plots and correlations between the number of plans offered and number of insurers operating in each geographic area in 2018, and the total population in the area in 2017, the total enrollment in the Health Insurance Market in 2017, the unemployment rate. There seems to be a small positive correlation between the </w:t>
      </w:r>
      <w:sdt>
        <w:sdtPr>
          <w:tag w:val="goog_rdk_7"/>
          <w:id w:val="-161082505"/>
        </w:sdtPr>
        <w:sdtEndPr/>
        <w:sdtContent/>
      </w:sdt>
      <w:sdt>
        <w:sdtPr>
          <w:tag w:val="goog_rdk_8"/>
          <w:id w:val="146863429"/>
        </w:sdtPr>
        <w:sdtEndPr/>
        <w:sdtContent/>
      </w:sdt>
      <w:r>
        <w:t xml:space="preserve">number of plans and market enrollment in the previous year (0.27), and the number of plans and population size (0.25). </w:t>
      </w:r>
    </w:p>
    <w:p w:rsidR="005F1108" w:rsidRDefault="005F1108"/>
    <w:p w:rsidR="005F1108" w:rsidRDefault="00520E0C">
      <w:pPr>
        <w:jc w:val="center"/>
      </w:pPr>
      <w:r>
        <w:rPr>
          <w:noProof/>
          <w:lang w:val="en-US"/>
        </w:rPr>
        <w:lastRenderedPageBreak/>
        <w:drawing>
          <wp:inline distT="0" distB="0" distL="0" distR="0">
            <wp:extent cx="5085284" cy="3390189"/>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85284" cy="3390189"/>
                    </a:xfrm>
                    <a:prstGeom prst="rect">
                      <a:avLst/>
                    </a:prstGeom>
                    <a:ln/>
                  </pic:spPr>
                </pic:pic>
              </a:graphicData>
            </a:graphic>
          </wp:inline>
        </w:drawing>
      </w:r>
    </w:p>
    <w:p w:rsidR="005F1108" w:rsidRDefault="005F1108"/>
    <w:p w:rsidR="005F1108" w:rsidRDefault="00520E0C">
      <w:r>
        <w:t>The distribution of the number of plans available varies widely across states (see Fig 3). Median number of plans offered by state ranges from 4 to 36. Among states offering larger options we see Florida and Wisconsin. In the lower end we see Alaska, Arizona, Mississippi and Iowa. This results suggests that even under federally mandated states, probably state regulations have an effect in these markets.</w:t>
      </w:r>
    </w:p>
    <w:p w:rsidR="005F1108" w:rsidRDefault="00520E0C">
      <w:pPr>
        <w:jc w:val="center"/>
      </w:pPr>
      <w:r>
        <w:rPr>
          <w:noProof/>
          <w:lang w:val="en-US"/>
        </w:rPr>
        <w:drawing>
          <wp:inline distT="0" distB="0" distL="0" distR="0">
            <wp:extent cx="6711982" cy="3355991"/>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711982" cy="3355991"/>
                    </a:xfrm>
                    <a:prstGeom prst="rect">
                      <a:avLst/>
                    </a:prstGeom>
                    <a:ln/>
                  </pic:spPr>
                </pic:pic>
              </a:graphicData>
            </a:graphic>
          </wp:inline>
        </w:drawing>
      </w:r>
    </w:p>
    <w:p w:rsidR="005F1108" w:rsidRDefault="005F1108"/>
    <w:p w:rsidR="005F1108" w:rsidRDefault="005F1108"/>
    <w:p w:rsidR="005F1108" w:rsidRDefault="00520E0C">
      <w:pPr>
        <w:pStyle w:val="Heading2"/>
        <w:rPr>
          <w:b/>
        </w:rPr>
      </w:pPr>
      <w:r>
        <w:rPr>
          <w:b/>
        </w:rPr>
        <w:t>How Number of Plans Offered Changes Depending on Governor’s Party Affiliation?</w:t>
      </w:r>
    </w:p>
    <w:p w:rsidR="005F1108" w:rsidRDefault="00520E0C">
      <w:pPr>
        <w:spacing w:before="240" w:after="240"/>
      </w:pPr>
      <w:r>
        <w:t>We identify the governor's political party at the beginning of 2018 for each of the states with federally facilitated exchanges under the ACA. There are 9 states under a democratic governor, 29 states under a republican governor, and one state with an independent governor. Note that the number of Democratic states opting to manage their own exchange and not included in this analysis, is proportionally larger than the number of Republican states choosing this option (7 Democratic states vs 4 Republican states). Since we have just one state with an independent governor, we leave this state out of the analysis.</w:t>
      </w:r>
    </w:p>
    <w:p w:rsidR="005F1108" w:rsidRDefault="00520E0C">
      <w:pPr>
        <w:spacing w:before="240" w:after="240"/>
      </w:pPr>
      <w:r>
        <w:t xml:space="preserve">Table 2 shows the distribution of the number of issuers at the county level by state’s Governor political affiliation. The large majority of the counties offer health insurance through no more than four companies. States with a Republican governor tend to have fewer issuers with 87% of counties presenting just one or two issuers but a longer right tail. In contrast, counties under a Democratic governor presenting one or two issuers account for 64.5% of all counties. The differences in the distribution of the number of plans is less clear (see Figure 4) but still shows a more concentrated distribution in Democratic counties, but slightly shifted to the right, respect to the distribution in Republican counties. </w:t>
      </w:r>
    </w:p>
    <w:tbl>
      <w:tblPr>
        <w:tblStyle w:val="a"/>
        <w:tblW w:w="5567" w:type="dxa"/>
        <w:jc w:val="center"/>
        <w:tblLayout w:type="fixed"/>
        <w:tblLook w:val="0400" w:firstRow="0" w:lastRow="0" w:firstColumn="0" w:lastColumn="0" w:noHBand="0" w:noVBand="1"/>
      </w:tblPr>
      <w:tblGrid>
        <w:gridCol w:w="1477"/>
        <w:gridCol w:w="1361"/>
        <w:gridCol w:w="1361"/>
        <w:gridCol w:w="1368"/>
      </w:tblGrid>
      <w:tr w:rsidR="005F1108">
        <w:trPr>
          <w:trHeight w:val="266"/>
          <w:jc w:val="center"/>
        </w:trPr>
        <w:tc>
          <w:tcPr>
            <w:tcW w:w="5567" w:type="dxa"/>
            <w:gridSpan w:val="4"/>
            <w:shd w:val="clear" w:color="auto" w:fill="auto"/>
            <w:vAlign w:val="center"/>
          </w:tcPr>
          <w:p w:rsidR="005F1108" w:rsidRDefault="00520E0C">
            <w:pPr>
              <w:spacing w:line="240" w:lineRule="auto"/>
              <w:rPr>
                <w:rFonts w:ascii="Calibri" w:eastAsia="Calibri" w:hAnsi="Calibri" w:cs="Calibri"/>
                <w:color w:val="000000"/>
              </w:rPr>
            </w:pPr>
            <w:r>
              <w:rPr>
                <w:color w:val="000000"/>
                <w:sz w:val="20"/>
                <w:szCs w:val="20"/>
              </w:rPr>
              <w:t>Table 2 – Federally Regulated States</w:t>
            </w:r>
          </w:p>
        </w:tc>
      </w:tr>
      <w:tr w:rsidR="005F1108">
        <w:trPr>
          <w:trHeight w:val="266"/>
          <w:jc w:val="center"/>
        </w:trPr>
        <w:tc>
          <w:tcPr>
            <w:tcW w:w="1477" w:type="dxa"/>
            <w:tcBorders>
              <w:left w:val="single" w:sz="8" w:space="0" w:color="000000"/>
              <w:bottom w:val="single" w:sz="8" w:space="0" w:color="000000"/>
              <w:right w:val="single" w:sz="4" w:space="0" w:color="000000"/>
            </w:tcBorders>
            <w:shd w:val="clear" w:color="auto" w:fill="D9D9D9"/>
            <w:vAlign w:val="center"/>
          </w:tcPr>
          <w:p w:rsidR="005F1108" w:rsidRDefault="00520E0C">
            <w:pPr>
              <w:spacing w:line="240" w:lineRule="auto"/>
              <w:jc w:val="center"/>
              <w:rPr>
                <w:color w:val="000000"/>
                <w:sz w:val="20"/>
                <w:szCs w:val="20"/>
              </w:rPr>
            </w:pPr>
            <w:r>
              <w:rPr>
                <w:color w:val="000000"/>
                <w:sz w:val="20"/>
                <w:szCs w:val="20"/>
              </w:rPr>
              <w:t>Number of Issuers</w:t>
            </w:r>
          </w:p>
        </w:tc>
        <w:tc>
          <w:tcPr>
            <w:tcW w:w="1361" w:type="dxa"/>
            <w:tcBorders>
              <w:left w:val="nil"/>
              <w:bottom w:val="single" w:sz="8" w:space="0" w:color="000000"/>
              <w:right w:val="single" w:sz="4" w:space="0" w:color="000000"/>
            </w:tcBorders>
            <w:shd w:val="clear" w:color="auto" w:fill="D9D9D9"/>
            <w:vAlign w:val="bottom"/>
          </w:tcPr>
          <w:p w:rsidR="005F1108" w:rsidRDefault="00520E0C">
            <w:pPr>
              <w:spacing w:line="240" w:lineRule="auto"/>
              <w:jc w:val="center"/>
              <w:rPr>
                <w:rFonts w:ascii="Calibri" w:eastAsia="Calibri" w:hAnsi="Calibri" w:cs="Calibri"/>
                <w:color w:val="000000"/>
              </w:rPr>
            </w:pPr>
            <w:r>
              <w:rPr>
                <w:rFonts w:ascii="Calibri" w:eastAsia="Calibri" w:hAnsi="Calibri" w:cs="Calibri"/>
                <w:color w:val="000000"/>
              </w:rPr>
              <w:t>Democratic (%)</w:t>
            </w:r>
          </w:p>
        </w:tc>
        <w:tc>
          <w:tcPr>
            <w:tcW w:w="1361" w:type="dxa"/>
            <w:tcBorders>
              <w:left w:val="nil"/>
              <w:bottom w:val="single" w:sz="8" w:space="0" w:color="000000"/>
              <w:right w:val="single" w:sz="4" w:space="0" w:color="000000"/>
            </w:tcBorders>
            <w:shd w:val="clear" w:color="auto" w:fill="D9D9D9"/>
            <w:vAlign w:val="bottom"/>
          </w:tcPr>
          <w:p w:rsidR="005F1108" w:rsidRDefault="00520E0C">
            <w:pPr>
              <w:spacing w:line="240" w:lineRule="auto"/>
              <w:jc w:val="center"/>
              <w:rPr>
                <w:rFonts w:ascii="Calibri" w:eastAsia="Calibri" w:hAnsi="Calibri" w:cs="Calibri"/>
                <w:color w:val="000000"/>
              </w:rPr>
            </w:pPr>
            <w:r>
              <w:rPr>
                <w:rFonts w:ascii="Calibri" w:eastAsia="Calibri" w:hAnsi="Calibri" w:cs="Calibri"/>
                <w:color w:val="000000"/>
              </w:rPr>
              <w:t>Republican (%)</w:t>
            </w:r>
          </w:p>
        </w:tc>
        <w:tc>
          <w:tcPr>
            <w:tcW w:w="1368" w:type="dxa"/>
            <w:tcBorders>
              <w:left w:val="nil"/>
              <w:bottom w:val="single" w:sz="8" w:space="0" w:color="000000"/>
              <w:right w:val="single" w:sz="8" w:space="0" w:color="000000"/>
            </w:tcBorders>
            <w:shd w:val="clear" w:color="auto" w:fill="D9D9D9"/>
            <w:vAlign w:val="bottom"/>
          </w:tcPr>
          <w:p w:rsidR="005F1108" w:rsidRDefault="00520E0C">
            <w:pPr>
              <w:spacing w:line="240" w:lineRule="auto"/>
              <w:jc w:val="center"/>
              <w:rPr>
                <w:rFonts w:ascii="Calibri" w:eastAsia="Calibri" w:hAnsi="Calibri" w:cs="Calibri"/>
                <w:color w:val="000000"/>
              </w:rPr>
            </w:pPr>
            <w:r>
              <w:rPr>
                <w:rFonts w:ascii="Calibri" w:eastAsia="Calibri" w:hAnsi="Calibri" w:cs="Calibri"/>
                <w:color w:val="000000"/>
              </w:rPr>
              <w:t>Independent (%)</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1</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46.1%</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57.8%</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100.0%</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2</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18.4%</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29.2%</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3</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30.4%</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4.1%</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4</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4.5%</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6.8%</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5</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0.6%</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1.7%</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6</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0.2%</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000000"/>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7</w:t>
            </w:r>
          </w:p>
        </w:tc>
        <w:tc>
          <w:tcPr>
            <w:tcW w:w="1361" w:type="dxa"/>
            <w:tcBorders>
              <w:top w:val="nil"/>
              <w:left w:val="nil"/>
              <w:bottom w:val="single" w:sz="8" w:space="0" w:color="000000"/>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c>
          <w:tcPr>
            <w:tcW w:w="1361" w:type="dxa"/>
            <w:tcBorders>
              <w:top w:val="nil"/>
              <w:left w:val="nil"/>
              <w:bottom w:val="single" w:sz="8" w:space="0" w:color="000000"/>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0.1%</w:t>
            </w:r>
          </w:p>
        </w:tc>
        <w:tc>
          <w:tcPr>
            <w:tcW w:w="1368" w:type="dxa"/>
            <w:tcBorders>
              <w:top w:val="nil"/>
              <w:left w:val="nil"/>
              <w:bottom w:val="single" w:sz="8" w:space="0" w:color="000000"/>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bl>
    <w:p w:rsidR="005F1108" w:rsidRDefault="005F1108">
      <w:pPr>
        <w:spacing w:before="240" w:after="240"/>
      </w:pPr>
    </w:p>
    <w:p w:rsidR="005F1108" w:rsidRDefault="005F1108"/>
    <w:p w:rsidR="005F1108" w:rsidRDefault="005F1108"/>
    <w:p w:rsidR="005F1108" w:rsidRDefault="00520E0C">
      <w:r>
        <w:rPr>
          <w:noProof/>
          <w:lang w:val="en-US"/>
        </w:rPr>
        <w:lastRenderedPageBreak/>
        <w:drawing>
          <wp:inline distT="0" distB="0" distL="0" distR="0">
            <wp:extent cx="5943600" cy="29718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971800"/>
                    </a:xfrm>
                    <a:prstGeom prst="rect">
                      <a:avLst/>
                    </a:prstGeom>
                    <a:ln/>
                  </pic:spPr>
                </pic:pic>
              </a:graphicData>
            </a:graphic>
          </wp:inline>
        </w:drawing>
      </w:r>
    </w:p>
    <w:p w:rsidR="005F1108" w:rsidRDefault="00520E0C">
      <w:r>
        <w:t>We are going to test the hypothesis that the expected number of plans in states with a Democratic Governor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D</m:t>
            </m:r>
          </m:sub>
        </m:sSub>
      </m:oMath>
      <w:r>
        <w:t>) is the same as the expected number of plans in states with a Republican Governor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R</m:t>
            </m:r>
          </m:sub>
        </m:sSub>
      </m:oMath>
      <w:r>
        <w:t>).</w:t>
      </w:r>
    </w:p>
    <w:p w:rsidR="005F1108" w:rsidRDefault="005F1108"/>
    <w:p w:rsidR="005F1108" w:rsidRDefault="00520E0C">
      <w:r>
        <w:t xml:space="preserve">H0: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D</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R</m:t>
            </m:r>
          </m:sub>
        </m:sSub>
      </m:oMath>
    </w:p>
    <w:p w:rsidR="005F1108" w:rsidRDefault="005F1108"/>
    <w:p w:rsidR="005F1108" w:rsidRDefault="00520E0C">
      <w:r>
        <w:t xml:space="preserve">We use a bootstrap approach for this test. Under the null hypothesis the expected value of both means is the same, but their variance is not necessary the same. To generate bootstrap replicates we shift both distributions so their sample means are the same and we sample multiple times from it. We use </w:t>
      </w:r>
      <m:oMath>
        <m:r>
          <w:rPr>
            <w:rFonts w:ascii="Cambria Math" w:hAnsi="Cambria Math"/>
          </w:rPr>
          <m:t>τ</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D</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R</m:t>
            </m:r>
          </m:sub>
        </m:sSub>
      </m:oMath>
      <w:r>
        <w:t xml:space="preserve"> to test the hypothesis.</w:t>
      </w:r>
    </w:p>
    <w:p w:rsidR="005F1108" w:rsidRDefault="00520E0C">
      <w:r>
        <w:t xml:space="preserve">We take 10,000 samples from the shifted distribution of plans of the same size as the original data, and for each simulation we compute the observed </w:t>
      </w:r>
      <m:oMath>
        <m:r>
          <w:rPr>
            <w:rFonts w:ascii="Cambria Math" w:hAnsi="Cambria Math"/>
          </w:rPr>
          <m:t>τ</m:t>
        </m:r>
      </m:oMath>
      <w:r>
        <w:rPr>
          <w:rFonts w:ascii="Arimo" w:eastAsia="Arimo" w:hAnsi="Arimo" w:cs="Arimo"/>
        </w:rPr>
        <w:t xml:space="preserve"> </w:t>
      </w:r>
      <w:r>
        <w:t>as the difference between both averages. We use the obtained distribution to compute the p-value of the actual observed difference (-1.71). Under the null hypothesis, observing a difference of -1.71 is highly unusual with a p-value &lt; 0.001. Given that a state opts to have their individual health insurance exchange facilitated by the Federal Government, States with Republican governors tend to have more plan options for individuals.</w:t>
      </w:r>
    </w:p>
    <w:p w:rsidR="005F1108" w:rsidRDefault="00520E0C">
      <w:pPr>
        <w:rPr>
          <w:rFonts w:ascii="Arimo" w:eastAsia="Arimo" w:hAnsi="Arimo" w:cs="Arimo"/>
        </w:rPr>
      </w:pPr>
      <w:r>
        <w:rPr>
          <w:rFonts w:ascii="Arimo" w:eastAsia="Arimo" w:hAnsi="Arimo" w:cs="Arimo"/>
          <w:noProof/>
          <w:lang w:val="en-US"/>
        </w:rPr>
        <w:lastRenderedPageBreak/>
        <w:drawing>
          <wp:inline distT="0" distB="0" distL="0" distR="0">
            <wp:extent cx="5943600" cy="297180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971800"/>
                    </a:xfrm>
                    <a:prstGeom prst="rect">
                      <a:avLst/>
                    </a:prstGeom>
                    <a:ln/>
                  </pic:spPr>
                </pic:pic>
              </a:graphicData>
            </a:graphic>
          </wp:inline>
        </w:drawing>
      </w:r>
    </w:p>
    <w:p w:rsidR="005F1108" w:rsidRDefault="00520E0C">
      <w:pPr>
        <w:rPr>
          <w:rFonts w:ascii="Arimo" w:eastAsia="Arimo" w:hAnsi="Arimo" w:cs="Arimo"/>
        </w:rPr>
      </w:pPr>
      <w:r>
        <w:rPr>
          <w:rFonts w:ascii="Arimo" w:eastAsia="Arimo" w:hAnsi="Arimo" w:cs="Arimo"/>
        </w:rPr>
        <w:t xml:space="preserve">There is a significant difference between counties under a Democratic and a Republican governor in the number of health plan options and individual faces when purchasing insurance through federally facilitated individual market exchanges. The number of options is higher for Republican areas though the size of the difference is small (1.7 in a market with on average about 14 different plans). However, the expected number of insurance companies operating in those counties is lower in Republican areas. </w:t>
      </w:r>
    </w:p>
    <w:p w:rsidR="005F1108" w:rsidRDefault="005F1108">
      <w:pPr>
        <w:rPr>
          <w:rFonts w:ascii="Arimo" w:eastAsia="Arimo" w:hAnsi="Arimo" w:cs="Arimo"/>
        </w:rPr>
      </w:pPr>
    </w:p>
    <w:p w:rsidR="005F1108" w:rsidRDefault="00520E0C">
      <w:pPr>
        <w:pStyle w:val="Heading2"/>
        <w:rPr>
          <w:b/>
        </w:rPr>
      </w:pPr>
      <w:r>
        <w:rPr>
          <w:b/>
        </w:rPr>
        <w:t>CAN WE PREDICT THE NUMBER OF PLAN OPTIONS IN THE MARKET</w:t>
      </w:r>
    </w:p>
    <w:p w:rsidR="005F1108" w:rsidRDefault="00520E0C">
      <w:pPr>
        <w:spacing w:before="240" w:after="240"/>
      </w:pPr>
      <w:r>
        <w:t>We first try a linear regression approach to predict the number of plans faced by consumers in the individual health insurance market and evaluate the explanatory power of these variables. Then we compare the results with a tree regression approach and the random forest. We pay special attention to the number of players in the market.</w:t>
      </w:r>
    </w:p>
    <w:p w:rsidR="005F1108" w:rsidRDefault="00520E0C">
      <w:pPr>
        <w:pStyle w:val="Heading2"/>
        <w:keepNext w:val="0"/>
        <w:keepLines w:val="0"/>
        <w:spacing w:after="80"/>
        <w:rPr>
          <w:b/>
          <w:sz w:val="34"/>
          <w:szCs w:val="34"/>
        </w:rPr>
      </w:pPr>
      <w:bookmarkStart w:id="0" w:name="_heading=h.51qwthlchvhf" w:colFirst="0" w:colLast="0"/>
      <w:bookmarkEnd w:id="0"/>
      <w:r>
        <w:rPr>
          <w:b/>
          <w:sz w:val="34"/>
          <w:szCs w:val="34"/>
        </w:rPr>
        <w:t>Fitting a Linear Model</w:t>
      </w:r>
    </w:p>
    <w:p w:rsidR="005F1108" w:rsidRDefault="00520E0C">
      <w:pPr>
        <w:spacing w:before="240" w:after="240"/>
      </w:pPr>
      <w:r>
        <w:t>We explore using a model penalizing the number of explanatory variables used, like the Ridge regression or Lasso regression. We split the model into a training and test sets (70%-30%). We use the training set to evaluate the three alternatives using cross validation with 3-folds. Then we use the test set to evaluate the selected model fit.</w:t>
      </w:r>
    </w:p>
    <w:p w:rsidR="005F1108" w:rsidRDefault="00520E0C">
      <w:pPr>
        <w:spacing w:before="240" w:after="240"/>
      </w:pPr>
      <w:r>
        <w:t xml:space="preserve">For a linear regression model we can use the R2, mean squared error (MSE), and mean absolute error (MAE) to evaluate the fit. The R2 shows the proportion of the dependent variable variance explained by the model. When comparing two models, a higher R2 implies the model has better predictive power. The MSE and MAE are measures of the model's lack of predicted </w:t>
      </w:r>
      <w:r>
        <w:lastRenderedPageBreak/>
        <w:t>power. A lower mean squared or absolute error implies the model has better predictive power. The MSE places a higher penalty to larger errors than the MAE.</w:t>
      </w:r>
    </w:p>
    <w:p w:rsidR="005F1108" w:rsidRDefault="00F80891" w:rsidP="00F80891">
      <w:pPr>
        <w:spacing w:before="240" w:after="240"/>
        <w:jc w:val="center"/>
      </w:pPr>
      <w:r>
        <w:rPr>
          <w:noProof/>
          <w:lang w:val="en-US"/>
        </w:rPr>
        <w:drawing>
          <wp:inline distT="0" distB="0" distL="0" distR="0" wp14:anchorId="1A048B30" wp14:editId="79882C9B">
            <wp:extent cx="4214713" cy="252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3000" cy="2525907"/>
                    </a:xfrm>
                    <a:prstGeom prst="rect">
                      <a:avLst/>
                    </a:prstGeom>
                  </pic:spPr>
                </pic:pic>
              </a:graphicData>
            </a:graphic>
          </wp:inline>
        </w:drawing>
      </w:r>
    </w:p>
    <w:p w:rsidR="0001392B" w:rsidRDefault="0001392B" w:rsidP="00F80891">
      <w:pPr>
        <w:spacing w:before="240" w:after="240"/>
        <w:jc w:val="center"/>
      </w:pPr>
    </w:p>
    <w:p w:rsidR="00F6140D" w:rsidRPr="00F6140D" w:rsidRDefault="00F6140D">
      <w:pPr>
        <w:spacing w:before="240" w:after="240"/>
      </w:pPr>
      <w:r w:rsidRPr="00F6140D">
        <w:t>When comparing the three linear regression options tested, the Lasso regression clearly doesn't do a good job and the other two have very similar scores (within the 95% confidence interval). The average MSE obtained with the linear fit is slightly better than the Ridge regression (though not statistically different), and since the linear regression is widely used, the first inclination is to chose the linear regression model.</w:t>
      </w:r>
    </w:p>
    <w:p w:rsidR="005F1108" w:rsidRDefault="00520E0C">
      <w:pPr>
        <w:spacing w:before="240" w:after="240"/>
      </w:pPr>
      <w:bookmarkStart w:id="1" w:name="_GoBack"/>
      <w:bookmarkEnd w:id="1"/>
      <w:r>
        <w:t xml:space="preserve">An additional test can be run for the selected model using the test set we extracted before. Besides the R2, MSE and MAE, we can also construct an accuracy measure based on an absolute desired maximum error. In this case we are trying to predict the number of plans offered, with an average level of 14.5. We can set the maximum error at 3 plans, about 20% of the mean. </w:t>
      </w:r>
    </w:p>
    <w:p w:rsidR="005F1108" w:rsidRDefault="00520E0C">
      <w:pPr>
        <w:spacing w:before="240" w:after="240"/>
        <w:jc w:val="center"/>
      </w:pPr>
      <w:r>
        <w:rPr>
          <w:noProof/>
          <w:lang w:val="en-US"/>
        </w:rPr>
        <w:drawing>
          <wp:inline distT="114300" distB="114300" distL="114300" distR="114300">
            <wp:extent cx="5000625" cy="11811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000625" cy="1181100"/>
                    </a:xfrm>
                    <a:prstGeom prst="rect">
                      <a:avLst/>
                    </a:prstGeom>
                    <a:ln/>
                  </pic:spPr>
                </pic:pic>
              </a:graphicData>
            </a:graphic>
          </wp:inline>
        </w:drawing>
      </w:r>
    </w:p>
    <w:p w:rsidR="005F1108" w:rsidRDefault="00520E0C">
      <w:pPr>
        <w:spacing w:before="240" w:after="240"/>
      </w:pPr>
      <w:r>
        <w:t>As expected, the fit on the test set is slightly worse than when testing using the training set, even after cross validation. Can this model be improved? We turn to ensemble methods</w:t>
      </w:r>
    </w:p>
    <w:p w:rsidR="0001392B" w:rsidRDefault="00520E0C">
      <w:pPr>
        <w:spacing w:before="240" w:after="240"/>
      </w:pPr>
      <w:r>
        <w:t xml:space="preserve"> </w:t>
      </w:r>
    </w:p>
    <w:p w:rsidR="0001392B" w:rsidRDefault="0001392B">
      <w:pPr>
        <w:spacing w:before="240" w:after="240"/>
      </w:pPr>
    </w:p>
    <w:p w:rsidR="005F1108" w:rsidRDefault="00520E0C">
      <w:pPr>
        <w:pStyle w:val="Heading2"/>
        <w:keepNext w:val="0"/>
        <w:keepLines w:val="0"/>
        <w:spacing w:after="80"/>
        <w:rPr>
          <w:b/>
          <w:sz w:val="34"/>
          <w:szCs w:val="34"/>
        </w:rPr>
      </w:pPr>
      <w:bookmarkStart w:id="2" w:name="_heading=h.acxu5hapsgtf" w:colFirst="0" w:colLast="0"/>
      <w:bookmarkEnd w:id="2"/>
      <w:r>
        <w:rPr>
          <w:b/>
          <w:sz w:val="34"/>
          <w:szCs w:val="34"/>
        </w:rPr>
        <w:lastRenderedPageBreak/>
        <w:t>Decision Tree Regression and Random Forest</w:t>
      </w:r>
    </w:p>
    <w:p w:rsidR="005F1108" w:rsidRDefault="00520E0C">
      <w:pPr>
        <w:spacing w:before="240" w:after="240"/>
      </w:pPr>
      <w:r>
        <w:t xml:space="preserve"> An alternative to the linear regression is to fit a classification tree regression. This approach allows for additional flexibility, taking into account non-linear relationships with the dependent variable. The algorithm tries using each explanatory variable (or feature) to split the target variable in two groups at each node, evaluating the split using the desired score. In this case we use the MSE, penalizing larger errors more than the MAE.</w:t>
      </w:r>
    </w:p>
    <w:p w:rsidR="005F1108" w:rsidRDefault="00520E0C">
      <w:pPr>
        <w:spacing w:before="240" w:after="240"/>
      </w:pPr>
      <w:r>
        <w:t>The decision tree regression tends to over fit the sample and get poor results when applied to a data set different from the training one. This method can be strengthen by randomizing the features and samples, and fitting the model multiple times. This is called the Random Forest Regression. By fitting the tree on a subset of the training set and testing on the rest we avoid overfitting. It prepares the tree to fit on unknown values. Once multiple trees are estimated this method uses the average predicted values across all trees.</w:t>
      </w:r>
    </w:p>
    <w:p w:rsidR="005F1108" w:rsidRDefault="00520E0C">
      <w:pPr>
        <w:spacing w:before="240" w:after="240"/>
      </w:pPr>
      <w:r>
        <w:t>We again split the data into a training and test set, use the training set to fit the forest, and evaluate the fit on the test set. We use 100 samples (trees), with the randomize option but we include all features in the trees. Using a random forest model gets a better fit than the linear regression approach.</w:t>
      </w:r>
    </w:p>
    <w:p w:rsidR="005F1108" w:rsidRDefault="00520E0C">
      <w:pPr>
        <w:spacing w:before="240" w:after="240"/>
      </w:pPr>
      <w:r>
        <w:t xml:space="preserve"> </w:t>
      </w:r>
      <w:r>
        <w:rPr>
          <w:noProof/>
          <w:lang w:val="en-US"/>
        </w:rPr>
        <w:drawing>
          <wp:inline distT="114300" distB="114300" distL="114300" distR="114300">
            <wp:extent cx="4114800" cy="12001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114800" cy="1200150"/>
                    </a:xfrm>
                    <a:prstGeom prst="rect">
                      <a:avLst/>
                    </a:prstGeom>
                    <a:ln/>
                  </pic:spPr>
                </pic:pic>
              </a:graphicData>
            </a:graphic>
          </wp:inline>
        </w:drawing>
      </w:r>
    </w:p>
    <w:p w:rsidR="005F1108" w:rsidRDefault="00520E0C">
      <w:pPr>
        <w:spacing w:before="240" w:after="240"/>
      </w:pPr>
      <w:r>
        <w:t>There is still a significant unexplained variation in the error term. The bulk of the distribution is within an error of 3 plan options. However, there are still a little over 20% of counties were the predicted error is above this number.</w:t>
      </w:r>
    </w:p>
    <w:p w:rsidR="005F1108" w:rsidRDefault="00520E0C">
      <w:pPr>
        <w:spacing w:before="240" w:after="240"/>
        <w:jc w:val="center"/>
      </w:pPr>
      <w:r>
        <w:rPr>
          <w:noProof/>
          <w:lang w:val="en-US"/>
        </w:rPr>
        <w:lastRenderedPageBreak/>
        <w:drawing>
          <wp:inline distT="114300" distB="114300" distL="114300" distR="114300">
            <wp:extent cx="4314825" cy="314325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314825" cy="3143250"/>
                    </a:xfrm>
                    <a:prstGeom prst="rect">
                      <a:avLst/>
                    </a:prstGeom>
                    <a:ln/>
                  </pic:spPr>
                </pic:pic>
              </a:graphicData>
            </a:graphic>
          </wp:inline>
        </w:drawing>
      </w:r>
      <w:r>
        <w:t xml:space="preserve"> </w:t>
      </w:r>
    </w:p>
    <w:p w:rsidR="005F1108" w:rsidRDefault="00520E0C">
      <w:pPr>
        <w:spacing w:before="240" w:after="240"/>
      </w:pPr>
      <w:r>
        <w:t>Looking further into how you get to this fit, we observed that there the main results are driven by a couple of features. The number of issuers present in the market is the main feature used to predict the number of plan options. The second two highly relevant features are the indicators for the states of Florida and Wisconsin. These two states seem to behave like outliers when compared with the rest of the states. Population size in the area, county median income, and enrollment in this market in the previous year follow in relevance (see Top 10 Features figure).</w:t>
      </w:r>
    </w:p>
    <w:p w:rsidR="005F1108" w:rsidRDefault="00520E0C">
      <w:pPr>
        <w:spacing w:before="240" w:after="240"/>
      </w:pPr>
      <w:r>
        <w:t xml:space="preserve"> </w:t>
      </w:r>
      <w:r>
        <w:rPr>
          <w:noProof/>
          <w:lang w:val="en-US"/>
        </w:rPr>
        <w:drawing>
          <wp:inline distT="114300" distB="114300" distL="114300" distR="114300">
            <wp:extent cx="5576888" cy="3086239"/>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576888" cy="3086239"/>
                    </a:xfrm>
                    <a:prstGeom prst="rect">
                      <a:avLst/>
                    </a:prstGeom>
                    <a:ln/>
                  </pic:spPr>
                </pic:pic>
              </a:graphicData>
            </a:graphic>
          </wp:inline>
        </w:drawing>
      </w:r>
    </w:p>
    <w:p w:rsidR="005F1108" w:rsidRDefault="005F1108">
      <w:pPr>
        <w:spacing w:before="240" w:after="240"/>
      </w:pPr>
    </w:p>
    <w:p w:rsidR="005F1108" w:rsidRDefault="00520E0C">
      <w:pPr>
        <w:pStyle w:val="Heading2"/>
        <w:keepNext w:val="0"/>
        <w:keepLines w:val="0"/>
        <w:spacing w:after="80"/>
        <w:rPr>
          <w:b/>
          <w:sz w:val="34"/>
          <w:szCs w:val="34"/>
        </w:rPr>
      </w:pPr>
      <w:bookmarkStart w:id="3" w:name="_heading=h.txx7sya7ln2p" w:colFirst="0" w:colLast="0"/>
      <w:bookmarkEnd w:id="3"/>
      <w:r>
        <w:rPr>
          <w:b/>
          <w:sz w:val="34"/>
          <w:szCs w:val="34"/>
        </w:rPr>
        <w:lastRenderedPageBreak/>
        <w:t>Conclusion</w:t>
      </w:r>
    </w:p>
    <w:p w:rsidR="005F1108" w:rsidRDefault="00520E0C">
      <w:pPr>
        <w:spacing w:before="240" w:after="240"/>
      </w:pPr>
      <w:r>
        <w:t>The number of health insurance plans offered in any particular geographic area in the US where the exchanges are federally moderated shows high levels of variability. The number of issuers in each market is very low, with many areas limited to just one company. This points to a low level of competition, though due to high variability in the number of plans, some areas still present the consumer with a significant number of options.</w:t>
      </w:r>
    </w:p>
    <w:p w:rsidR="005F1108" w:rsidRDefault="00520E0C">
      <w:pPr>
        <w:spacing w:before="240" w:after="240"/>
      </w:pPr>
      <w:r>
        <w:t xml:space="preserve">The distribution of the number of plans differs by state. Since the ACA implementation and regulation has been a highly political topic, we test whether the state’s color (Governor’s political party affiliation) has an effect on this distribution. We observe a significant difference in the number of plans offered in Republican states than in Democratic states, though this difference is small in size (1.7). </w:t>
      </w:r>
    </w:p>
    <w:p w:rsidR="005F1108" w:rsidRDefault="00520E0C">
      <w:pPr>
        <w:spacing w:before="240" w:after="240"/>
      </w:pPr>
      <w:r>
        <w:t xml:space="preserve">The number of plans can be predicted using market characteristics with different approaches. The best predictive model identified is the Random Forest, with slight improvement over the linear regression fit. Besides the high correlation between plans and number of issuers, other variables still have additional predictive power. In particular, two states seem to deviate from the rest, Florida and </w:t>
      </w:r>
      <w:proofErr w:type="spellStart"/>
      <w:r>
        <w:t>Winsconsin</w:t>
      </w:r>
      <w:proofErr w:type="spellEnd"/>
      <w:r>
        <w:t>.</w:t>
      </w:r>
    </w:p>
    <w:p w:rsidR="005F1108" w:rsidRDefault="00520E0C">
      <w:r>
        <w:t>Further analysis into the state facilitated markets is necessary to better inform the prediction of plans offered across the US. From this preliminary analysis it is clear that the health insurance market is highly concentrated and the options a consumer faces highly depend on the ability of the market to attract insurers.</w:t>
      </w:r>
    </w:p>
    <w:p w:rsidR="005F1108" w:rsidRDefault="005F1108"/>
    <w:sectPr w:rsidR="005F1108">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053" w:rsidRDefault="000E6053">
      <w:pPr>
        <w:spacing w:line="240" w:lineRule="auto"/>
      </w:pPr>
      <w:r>
        <w:separator/>
      </w:r>
    </w:p>
  </w:endnote>
  <w:endnote w:type="continuationSeparator" w:id="0">
    <w:p w:rsidR="000E6053" w:rsidRDefault="000E6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08" w:rsidRDefault="00520E0C">
    <w:pPr>
      <w:jc w:val="right"/>
    </w:pPr>
    <w:r>
      <w:fldChar w:fldCharType="begin"/>
    </w:r>
    <w:r>
      <w:instrText>PAGE</w:instrText>
    </w:r>
    <w:r>
      <w:fldChar w:fldCharType="separate"/>
    </w:r>
    <w:r w:rsidR="00F6140D">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053" w:rsidRDefault="000E6053">
      <w:pPr>
        <w:spacing w:line="240" w:lineRule="auto"/>
      </w:pPr>
      <w:r>
        <w:separator/>
      </w:r>
    </w:p>
  </w:footnote>
  <w:footnote w:type="continuationSeparator" w:id="0">
    <w:p w:rsidR="000E6053" w:rsidRDefault="000E605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08"/>
    <w:rsid w:val="0001392B"/>
    <w:rsid w:val="000E6053"/>
    <w:rsid w:val="001A0F17"/>
    <w:rsid w:val="00520E0C"/>
    <w:rsid w:val="005F1108"/>
    <w:rsid w:val="006012C5"/>
    <w:rsid w:val="0091167B"/>
    <w:rsid w:val="00B90E7C"/>
    <w:rsid w:val="00F6140D"/>
    <w:rsid w:val="00F8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AC160-F825-4455-84DC-A36EBCDD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66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6E6"/>
    <w:rPr>
      <w:rFonts w:ascii="Segoe UI" w:hAnsi="Segoe UI" w:cs="Segoe UI"/>
      <w:sz w:val="18"/>
      <w:szCs w:val="18"/>
    </w:rPr>
  </w:style>
  <w:style w:type="character" w:customStyle="1" w:styleId="Heading2Char">
    <w:name w:val="Heading 2 Char"/>
    <w:basedOn w:val="DefaultParagraphFont"/>
    <w:link w:val="Heading2"/>
    <w:uiPriority w:val="9"/>
    <w:rsid w:val="001866E6"/>
    <w:rPr>
      <w:sz w:val="32"/>
      <w:szCs w:val="32"/>
    </w:rPr>
  </w:style>
  <w:style w:type="character" w:styleId="Hyperlink">
    <w:name w:val="Hyperlink"/>
    <w:basedOn w:val="DefaultParagraphFont"/>
    <w:uiPriority w:val="99"/>
    <w:unhideWhenUsed/>
    <w:rsid w:val="00A178D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40063"/>
    <w:rPr>
      <w:b/>
      <w:bCs/>
    </w:rPr>
  </w:style>
  <w:style w:type="character" w:customStyle="1" w:styleId="CommentSubjectChar">
    <w:name w:val="Comment Subject Char"/>
    <w:basedOn w:val="CommentTextChar"/>
    <w:link w:val="CommentSubject"/>
    <w:uiPriority w:val="99"/>
    <w:semiHidden/>
    <w:rsid w:val="00A40063"/>
    <w:rPr>
      <w:b/>
      <w:bCs/>
      <w:sz w:val="20"/>
      <w:szCs w:val="20"/>
    </w:rPr>
  </w:style>
  <w:style w:type="paragraph" w:styleId="Header">
    <w:name w:val="header"/>
    <w:basedOn w:val="Normal"/>
    <w:link w:val="HeaderChar"/>
    <w:uiPriority w:val="99"/>
    <w:unhideWhenUsed/>
    <w:rsid w:val="00A40063"/>
    <w:pPr>
      <w:tabs>
        <w:tab w:val="center" w:pos="4680"/>
        <w:tab w:val="right" w:pos="9360"/>
      </w:tabs>
      <w:spacing w:line="240" w:lineRule="auto"/>
    </w:pPr>
  </w:style>
  <w:style w:type="character" w:customStyle="1" w:styleId="HeaderChar">
    <w:name w:val="Header Char"/>
    <w:basedOn w:val="DefaultParagraphFont"/>
    <w:link w:val="Header"/>
    <w:uiPriority w:val="99"/>
    <w:rsid w:val="00A40063"/>
  </w:style>
  <w:style w:type="paragraph" w:styleId="Footer">
    <w:name w:val="footer"/>
    <w:basedOn w:val="Normal"/>
    <w:link w:val="FooterChar"/>
    <w:uiPriority w:val="99"/>
    <w:unhideWhenUsed/>
    <w:rsid w:val="00A40063"/>
    <w:pPr>
      <w:tabs>
        <w:tab w:val="center" w:pos="4680"/>
        <w:tab w:val="right" w:pos="9360"/>
      </w:tabs>
      <w:spacing w:line="240" w:lineRule="auto"/>
    </w:pPr>
  </w:style>
  <w:style w:type="character" w:customStyle="1" w:styleId="FooterChar">
    <w:name w:val="Footer Char"/>
    <w:basedOn w:val="DefaultParagraphFont"/>
    <w:link w:val="Footer"/>
    <w:uiPriority w:val="99"/>
    <w:rsid w:val="00A40063"/>
  </w:style>
  <w:style w:type="paragraph" w:styleId="ListParagraph">
    <w:name w:val="List Paragraph"/>
    <w:basedOn w:val="Normal"/>
    <w:uiPriority w:val="34"/>
    <w:qFormat/>
    <w:rsid w:val="00B73E07"/>
    <w:pPr>
      <w:ind w:left="720"/>
      <w:contextualSpacing/>
    </w:p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healthcare.gov/"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healthcare.gov/"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a.hrsa.gov/data/download"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healthcare.gov/health-plan-information-2018/"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ddAfc4DDLaCpdw+IqASx1j56ZA==">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Gascue</dc:creator>
  <cp:lastModifiedBy>Laura Gascue</cp:lastModifiedBy>
  <cp:revision>7</cp:revision>
  <cp:lastPrinted>2020-07-01T08:49:00Z</cp:lastPrinted>
  <dcterms:created xsi:type="dcterms:W3CDTF">2020-07-01T08:50:00Z</dcterms:created>
  <dcterms:modified xsi:type="dcterms:W3CDTF">2020-07-20T06:57:00Z</dcterms:modified>
</cp:coreProperties>
</file>