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13.png" ContentType="image/png"/>
  <Override PartName="/word/media/rId71.png" ContentType="image/png"/>
  <Override PartName="/word/media/rId76.png" ContentType="image/png"/>
  <Override PartName="/word/media/rId93.png" ContentType="image/png"/>
  <Override PartName="/word/media/rId118.png" ContentType="image/png"/>
  <Override PartName="/word/media/rId141.png" ContentType="image/png"/>
  <Override PartName="/word/media/rId176.png" ContentType="image/png"/>
  <Override PartName="/word/media/rId192.png" ContentType="image/png"/>
  <Override PartName="/word/media/rId196.png" ContentType="image/png"/>
  <Override PartName="/word/media/rId203.png" ContentType="image/png"/>
  <Override PartName="/word/media/rId36.svg" ContentType="image/svg+xml"/>
  <Override PartName="/word/media/rId170.png" ContentType="image/png"/>
  <Override PartName="/word/media/rId526.png" ContentType="image/png"/>
  <Override PartName="/word/media/rId241.png" ContentType="image/png"/>
  <Override PartName="/word/media/rId245.svg" ContentType="image/svg+xml"/>
  <Override PartName="/word/media/rId250.png" ContentType="image/png"/>
  <Override PartName="/word/media/rId254.svg" ContentType="image/svg+xml"/>
  <Override PartName="/word/media/rId263.svg" ContentType="image/svg+xml"/>
  <Override PartName="/word/media/rId259.png" ContentType="image/png"/>
  <Override PartName="/word/media/rId267.svg" ContentType="image/svg+xml"/>
  <Override PartName="/word/media/rId301.png" ContentType="image/png"/>
  <Override PartName="/word/media/rId305.png" ContentType="image/png"/>
  <Override PartName="/word/media/rId309.png" ContentType="image/png"/>
  <Override PartName="/word/media/rId274.png" ContentType="image/png"/>
  <Override PartName="/word/media/rId315.png" ContentType="image/png"/>
  <Override PartName="/word/media/rId319.svg" ContentType="image/svg+xml"/>
  <Override PartName="/word/media/rId340.png" ContentType="image/png"/>
  <Override PartName="/word/media/rId336.png" ContentType="image/png"/>
  <Override PartName="/word/media/rId327.png" ContentType="image/png"/>
  <Override PartName="/word/media/rId331.svg" ContentType="image/svg+xml"/>
  <Override PartName="/word/media/rId344.png" ContentType="image/png"/>
  <Override PartName="/word/media/rId348.svg" ContentType="image/svg+xml"/>
  <Override PartName="/word/media/rId353.png" ContentType="image/png"/>
  <Override PartName="/word/media/rId237.png" ContentType="image/png"/>
  <Override PartName="/word/media/rId421.png" ContentType="image/png"/>
  <Override PartName="/word/media/rId400.png" ContentType="image/png"/>
  <Override PartName="/word/media/rId369.png" ContentType="image/png"/>
  <Override PartName="/word/media/rId383.png" ContentType="image/png"/>
  <Override PartName="/word/media/rId373.png" ContentType="image/png"/>
  <Override PartName="/word/media/rId378.png" ContentType="image/png"/>
  <Override PartName="/word/media/rId406.png" ContentType="image/png"/>
  <Override PartName="/word/media/rId417.png" ContentType="image/png"/>
  <Override PartName="/word/media/rId413.png" ContentType="image/png"/>
  <Override PartName="/word/media/rId365.png" ContentType="image/png"/>
  <Override PartName="/word/media/rId449.png" ContentType="image/png"/>
  <Override PartName="/word/media/rId484.png" ContentType="image/png"/>
  <Override PartName="/word/media/rId474.png" ContentType="image/png"/>
  <Override PartName="/word/media/rId430.png" ContentType="image/png"/>
  <Override PartName="/word/media/rId459.png" ContentType="image/png"/>
  <Override PartName="/word/media/rId507.png" ContentType="image/png"/>
  <Override PartName="/word/media/rId498.png" ContentType="image/png"/>
  <Override PartName="/word/media/rId492.png" ContentType="image/png"/>
  <Override PartName="/word/media/rId488.png" ContentType="image/png"/>
  <Override PartName="/word/media/rId478.png" ContentType="image/png"/>
  <Override PartName="/word/media/rId438.png" ContentType="image/png"/>
  <Override PartName="/word/media/rId502.png" ContentType="image/png"/>
  <Override PartName="/word/media/rId603.png" ContentType="image/png"/>
  <Override PartName="/word/media/rId550.png" ContentType="image/png"/>
  <Override PartName="/word/media/rId579.png" ContentType="image/png"/>
  <Override PartName="/word/media/rId597.png" ContentType="image/png"/>
  <Override PartName="/word/media/rId542.png" ContentType="image/png"/>
  <Override PartName="/word/media/rId218.svg" ContentType="image/svg+xml"/>
  <Override PartName="/word/media/rId21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2026-01-22</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70" w:name="boolesche-algebra"/>
    <w:p>
      <w:pPr>
        <w:pStyle w:val="Heading1"/>
      </w:pPr>
      <w:r>
        <w:t xml:space="preserve">1. Boolesche Algebra</w:t>
      </w:r>
    </w:p>
    <w:bookmarkStart w:id="24" w:name="grundregeln-der-booleschen-algebra"/>
    <w:p>
      <w:pPr>
        <w:pStyle w:val="Heading2"/>
      </w:pPr>
      <w:r>
        <w:t xml:space="preserve">1.1 Grundregeln der Booleschen Algebra</w:t>
      </w:r>
    </w:p>
    <w:bookmarkStart w:id="23" w:name="basis-operationen"/>
    <w:p>
      <w:pPr>
        <w:pStyle w:val="Heading3"/>
      </w:pPr>
      <w:r>
        <w:t xml:space="preserve">1.1.1 Basis-Operationen</w:t>
      </w:r>
    </w:p>
    <w:tbl>
      <w:tblPr>
        <w:tblStyle w:val="Table"/>
        <w:tblW w:type="pct" w:w="5000"/>
        <w:tblLayout w:type="fixed"/>
        <w:tblLook w:firstRow="1" w:lastRow="0" w:firstColumn="0" w:lastColumn="0" w:noHBand="0" w:noVBand="0" w:val="0020"/>
      </w:tblPr>
      <w:tblGrid>
        <w:gridCol w:w="1352"/>
        <w:gridCol w:w="2124"/>
        <w:gridCol w:w="2124"/>
        <w:gridCol w:w="2318"/>
      </w:tblGrid>
      <w:tr>
        <w:trPr>
          <w:tblHeader w:val="on"/>
        </w:trPr>
        <w:tc>
          <w:tcPr/>
          <w:p>
            <w:pPr>
              <w:pStyle w:val="Compact"/>
            </w:pPr>
            <w:r>
              <w:t xml:space="preserve">Regel</w:t>
            </w:r>
          </w:p>
        </w:tc>
        <w:tc>
          <w:tcPr/>
          <w:p>
            <w:pPr>
              <w:pStyle w:val="Compact"/>
            </w:pPr>
            <w:r>
              <w:t xml:space="preserve">UND (AND)</w:t>
            </w:r>
          </w:p>
        </w:tc>
        <w:tc>
          <w:tcPr/>
          <w:p>
            <w:pPr>
              <w:pStyle w:val="Compact"/>
            </w:pPr>
            <w:r>
              <w:t xml:space="preserve">ODER (OR)</w:t>
            </w:r>
          </w:p>
        </w:tc>
        <w:tc>
          <w:tcPr/>
          <w:p>
            <w:pPr>
              <w:pStyle w:val="Compact"/>
            </w:pPr>
            <w:r>
              <w:t xml:space="preserve">NICHT (NOT)</w:t>
            </w:r>
          </w:p>
        </w:tc>
      </w:tr>
      <w:tr>
        <w:tc>
          <w:tcPr/>
          <w:p>
            <w:pPr>
              <w:pStyle w:val="Compact"/>
            </w:pPr>
            <w:r>
              <w:t xml:space="preserve">Doppeltes Komplement</w:t>
            </w:r>
          </w:p>
        </w:tc>
        <w:tc>
          <w:tcPr/>
          <w:p>
            <w:pPr>
              <w:pStyle w:val="Compact"/>
            </w:pPr>
          </w:p>
        </w:tc>
        <w:tc>
          <w:tcPr/>
          <w:p>
            <w:pPr>
              <w:pStyle w:val="Compact"/>
            </w:pPr>
          </w:p>
        </w:tc>
        <w:tc>
          <w:tcPr/>
          <w:p>
            <w:pPr>
              <w:pStyle w:val="Compact"/>
            </w:pPr>
            <m:oMath>
              <m:bar>
                <m:barPr>
                  <m:pos m:val="top"/>
                </m:barPr>
                <m:e>
                  <m:bar>
                    <m:barPr>
                      <m:pos m:val="top"/>
                    </m:barPr>
                    <m:e>
                      <m:r>
                        <m:t>A</m:t>
                      </m:r>
                    </m:e>
                  </m:bar>
                </m:e>
              </m:bar>
              <m:r>
                <m:rPr>
                  <m:sty m:val="p"/>
                </m:rPr>
                <m:t>=</m:t>
              </m:r>
              <m:r>
                <m:t>A</m:t>
              </m:r>
            </m:oMath>
          </w:p>
        </w:tc>
      </w:tr>
      <w:tr>
        <w:tc>
          <w:tcPr/>
          <w:p>
            <w:pPr>
              <w:pStyle w:val="Compact"/>
            </w:pPr>
            <w:r>
              <w:t xml:space="preserve">Identität</w:t>
            </w:r>
          </w:p>
        </w:tc>
        <w:tc>
          <w:tcPr/>
          <w:p>
            <w:pPr>
              <w:pStyle w:val="Compact"/>
            </w:pPr>
            <m:oMath>
              <m:r>
                <m:t>A</m:t>
              </m:r>
              <m:r>
                <m:rPr>
                  <m:sty m:val="p"/>
                </m:rPr>
                <m:t>∧</m:t>
              </m:r>
              <m:r>
                <m:t>1</m:t>
              </m:r>
              <m:r>
                <m:rPr>
                  <m:sty m:val="p"/>
                </m:rPr>
                <m:t>=</m:t>
              </m:r>
              <m:r>
                <m:t>A</m:t>
              </m:r>
            </m:oMath>
          </w:p>
        </w:tc>
        <w:tc>
          <w:tcPr/>
          <w:p>
            <w:pPr>
              <w:pStyle w:val="Compact"/>
            </w:pPr>
            <m:oMath>
              <m:r>
                <m:t>A</m:t>
              </m:r>
              <m:r>
                <m:rPr>
                  <m:sty m:val="p"/>
                </m:rPr>
                <m:t>∨</m:t>
              </m:r>
              <m:r>
                <m:t>0</m:t>
              </m:r>
              <m:r>
                <m:rPr>
                  <m:sty m:val="p"/>
                </m:rPr>
                <m:t>=</m:t>
              </m:r>
              <m:r>
                <m:t>A</m:t>
              </m:r>
            </m:oMath>
          </w:p>
        </w:tc>
        <w:tc>
          <w:tcPr/>
          <w:p>
            <w:pPr>
              <w:pStyle w:val="Compact"/>
            </w:pPr>
          </w:p>
        </w:tc>
      </w:tr>
      <w:tr>
        <w:tc>
          <w:tcPr/>
          <w:p>
            <w:pPr>
              <w:pStyle w:val="Compact"/>
            </w:pPr>
            <w:r>
              <w:t xml:space="preserve">Null-Element</w:t>
            </w:r>
          </w:p>
        </w:tc>
        <w:tc>
          <w:tcPr/>
          <w:p>
            <w:pPr>
              <w:pStyle w:val="Compact"/>
            </w:pPr>
            <m:oMath>
              <m:r>
                <m:t>A</m:t>
              </m:r>
              <m:r>
                <m:rPr>
                  <m:sty m:val="p"/>
                </m:rPr>
                <m:t>∧</m:t>
              </m:r>
              <m:r>
                <m:t>0</m:t>
              </m:r>
              <m:r>
                <m:rPr>
                  <m:sty m:val="p"/>
                </m:rPr>
                <m:t>=</m:t>
              </m:r>
              <m:r>
                <m:t>0</m:t>
              </m:r>
            </m:oMath>
          </w:p>
        </w:tc>
        <w:tc>
          <w:tcPr/>
          <w:p>
            <w:pPr>
              <w:pStyle w:val="Compact"/>
            </w:pPr>
            <m:oMath>
              <m:r>
                <m:t>A</m:t>
              </m:r>
              <m:r>
                <m:rPr>
                  <m:sty m:val="p"/>
                </m:rPr>
                <m:t>∨</m:t>
              </m:r>
              <m:r>
                <m:t>1</m:t>
              </m:r>
              <m:r>
                <m:rPr>
                  <m:sty m:val="p"/>
                </m:rPr>
                <m:t>=</m:t>
              </m:r>
              <m:r>
                <m:t>1</m:t>
              </m:r>
            </m:oMath>
          </w:p>
        </w:tc>
        <w:tc>
          <w:tcPr/>
          <w:p>
            <w:pPr>
              <w:pStyle w:val="Compact"/>
            </w:pPr>
          </w:p>
        </w:tc>
      </w:tr>
      <w:tr>
        <w:tc>
          <w:tcPr/>
          <w:p>
            <w:pPr>
              <w:pStyle w:val="Compact"/>
            </w:pPr>
            <w:r>
              <w:t xml:space="preserve">Idempotenz</w:t>
            </w:r>
          </w:p>
        </w:tc>
        <w:tc>
          <w:tcPr/>
          <w:p>
            <w:pPr>
              <w:pStyle w:val="Compact"/>
            </w:pPr>
            <m:oMath>
              <m:r>
                <m:t>A</m:t>
              </m:r>
              <m:r>
                <m:rPr>
                  <m:sty m:val="p"/>
                </m:rPr>
                <m:t>∧</m:t>
              </m:r>
              <m:r>
                <m:t>A</m:t>
              </m:r>
              <m:r>
                <m:rPr>
                  <m:sty m:val="p"/>
                </m:rPr>
                <m:t>=</m:t>
              </m:r>
              <m:r>
                <m:t>A</m:t>
              </m:r>
            </m:oMath>
          </w:p>
        </w:tc>
        <w:tc>
          <w:tcPr/>
          <w:p>
            <w:pPr>
              <w:pStyle w:val="Compact"/>
            </w:pPr>
            <m:oMath>
              <m:r>
                <m:t>A</m:t>
              </m:r>
              <m:r>
                <m:rPr>
                  <m:sty m:val="p"/>
                </m:rPr>
                <m:t>∨</m:t>
              </m:r>
              <m:r>
                <m:t>A</m:t>
              </m:r>
              <m:r>
                <m:rPr>
                  <m:sty m:val="p"/>
                </m:rPr>
                <m:t>=</m:t>
              </m:r>
              <m:r>
                <m:t>A</m:t>
              </m:r>
            </m:oMath>
          </w:p>
        </w:tc>
        <w:tc>
          <w:tcPr/>
          <w:p>
            <w:pPr>
              <w:pStyle w:val="Compact"/>
            </w:pPr>
          </w:p>
        </w:tc>
      </w:tr>
      <w:tr>
        <w:tc>
          <w:tcPr/>
          <w:p>
            <w:pPr>
              <w:pStyle w:val="Compact"/>
            </w:pPr>
            <w:r>
              <w:t xml:space="preserve">Absorption</w:t>
            </w:r>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w:p>
        </w:tc>
      </w:tr>
      <w:tr>
        <w:tc>
          <w:tcPr/>
          <w:p>
            <w:pPr>
              <w:pStyle w:val="Compact"/>
            </w:pPr>
            <w:r>
              <w:t xml:space="preserve">Komplementarität</w:t>
            </w:r>
          </w:p>
        </w:tc>
        <w:tc>
          <w:tcPr/>
          <w:p>
            <w:pPr>
              <w:pStyle w:val="Compact"/>
            </w:pPr>
            <m:oMath>
              <m:r>
                <m:t>A</m:t>
              </m:r>
              <m:r>
                <m:rPr>
                  <m:sty m:val="p"/>
                </m:rPr>
                <m:t>∧</m:t>
              </m:r>
              <m:acc>
                <m:accPr>
                  <m:chr m:val="‾"/>
                </m:accPr>
                <m:e>
                  <m:r>
                    <m:t>A</m:t>
                  </m:r>
                </m:e>
              </m:acc>
              <m:r>
                <m:rPr>
                  <m:sty m:val="p"/>
                </m:rPr>
                <m:t>=</m:t>
              </m:r>
              <m:r>
                <m:t>0</m:t>
              </m:r>
            </m:oMath>
          </w:p>
        </w:tc>
        <w:tc>
          <w:tcPr/>
          <w:p>
            <w:pPr>
              <w:pStyle w:val="Compact"/>
            </w:pPr>
            <m:oMath>
              <m:r>
                <m:t>A</m:t>
              </m:r>
              <m:r>
                <m:rPr>
                  <m:sty m:val="p"/>
                </m:rPr>
                <m:t>∨</m:t>
              </m:r>
              <m:acc>
                <m:accPr>
                  <m:chr m:val="‾"/>
                </m:accPr>
                <m:e>
                  <m:r>
                    <m:t>A</m:t>
                  </m:r>
                </m:e>
              </m:acc>
              <m:r>
                <m:rPr>
                  <m:sty m:val="p"/>
                </m:rPr>
                <m:t>=</m:t>
              </m:r>
              <m:r>
                <m:t>1</m:t>
              </m:r>
            </m:oMath>
          </w:p>
        </w:tc>
        <w:tc>
          <w:tcPr/>
          <w:p>
            <w:pPr>
              <w:pStyle w:val="Compact"/>
            </w:pPr>
          </w:p>
        </w:tc>
      </w:tr>
      <w:tr>
        <w:tc>
          <w:tcPr/>
          <w:p>
            <w:pPr>
              <w:pStyle w:val="Compact"/>
            </w:pPr>
            <w:r>
              <w:t xml:space="preserve">Kommutativgesetz</w:t>
            </w:r>
          </w:p>
        </w:tc>
        <w:tc>
          <w:tcPr/>
          <w:p>
            <w:pPr>
              <w:pStyle w:val="Compact"/>
            </w:pPr>
            <m:oMath>
              <m:r>
                <m:t>A</m:t>
              </m:r>
              <m:r>
                <m:rPr>
                  <m:sty m:val="p"/>
                </m:rPr>
                <m:t>∧</m:t>
              </m:r>
              <m:r>
                <m:t>B</m:t>
              </m:r>
              <m:r>
                <m:rPr>
                  <m:sty m:val="p"/>
                </m:rPr>
                <m:t>=</m:t>
              </m:r>
              <m:r>
                <m:t>B</m:t>
              </m:r>
              <m:r>
                <m:rPr>
                  <m:sty m:val="p"/>
                </m:rPr>
                <m:t>∧</m:t>
              </m:r>
              <m:r>
                <m:t>A</m:t>
              </m:r>
            </m:oMath>
          </w:p>
        </w:tc>
        <w:tc>
          <w:tcPr/>
          <w:p>
            <w:pPr>
              <w:pStyle w:val="Compact"/>
            </w:pPr>
            <m:oMath>
              <m:r>
                <m:t>A</m:t>
              </m:r>
              <m:r>
                <m:rPr>
                  <m:sty m:val="p"/>
                </m:rPr>
                <m:t>∨</m:t>
              </m:r>
              <m:r>
                <m:t>B</m:t>
              </m:r>
              <m:r>
                <m:rPr>
                  <m:sty m:val="p"/>
                </m:rPr>
                <m:t>=</m:t>
              </m:r>
              <m:r>
                <m:t>B</m:t>
              </m:r>
              <m:r>
                <m:rPr>
                  <m:sty m:val="p"/>
                </m:rPr>
                <m:t>∨</m:t>
              </m:r>
              <m:r>
                <m:t>A</m:t>
              </m:r>
            </m:oMath>
          </w:p>
        </w:tc>
        <w:tc>
          <w:tcPr/>
          <w:p>
            <w:pPr>
              <w:pStyle w:val="Compact"/>
            </w:pPr>
          </w:p>
        </w:tc>
      </w:tr>
      <w:tr>
        <w:tc>
          <w:tcPr/>
          <w:p>
            <w:pPr>
              <w:pStyle w:val="Compact"/>
            </w:pPr>
            <w:r>
              <w:t xml:space="preserve">Assoziativgesetz</w:t>
            </w:r>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w:p>
        </w:tc>
      </w:tr>
      <w:tr>
        <w:tc>
          <w:tcPr/>
          <w:p>
            <w:pPr>
              <w:pStyle w:val="Compact"/>
            </w:pPr>
            <w:r>
              <w:t xml:space="preserve">Distributivgesetz</w:t>
            </w:r>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w:p>
        </w:tc>
      </w:tr>
      <w:tr>
        <w:tc>
          <w:tcPr/>
          <w:p>
            <w:pPr>
              <w:pStyle w:val="Compact"/>
            </w:pPr>
            <w:r>
              <w:t xml:space="preserve">De Morgans Regeln</w:t>
            </w:r>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w:p>
        </w:tc>
      </w:tr>
    </w:tbl>
    <w:bookmarkEnd w:id="23"/>
    <w:bookmarkEnd w:id="24"/>
    <w:bookmarkStart w:id="41" w:name="X6aada0a1ab85d7533dff26b7bd948c75ed655da"/>
    <w:p>
      <w:pPr>
        <w:pStyle w:val="Heading2"/>
      </w:pPr>
      <w:r>
        <w:t xml:space="preserve">1.2 Von der Wahrheitstabelle zur Booleschen Gleichung</w:t>
      </w:r>
    </w:p>
    <w:p>
      <w:pPr>
        <w:pStyle w:val="FirstParagraph"/>
      </w:pPr>
      <w:r>
        <w:t xml:space="preserve">Es soll mittels Boolescher Algebra die einfachste Boolesche Gleichung aus der Wahrheitstabelle ermittelt werden.</w:t>
      </w:r>
    </w:p>
    <w:bookmarkStart w:id="25" w:name="wahrheitstabelle"/>
    <w:p>
      <w:pPr>
        <w:pStyle w:val="Heading3"/>
      </w:pPr>
      <w:r>
        <w:t xml:space="preserve">1.2.1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5"/>
    <w:bookmarkStart w:id="27" w:name="Xca39fa3298d6db9f6d2b2beab1a3643c3b8f9df"/>
    <w:p>
      <w:pPr>
        <w:pStyle w:val="Heading3"/>
      </w:pPr>
      <w:r>
        <w:t xml:space="preserve">1.2.2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6"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6"/>
    </w:p>
    <w:bookmarkEnd w:id="27"/>
    <w:bookmarkStart w:id="33" w:name="überprüfung"/>
    <w:p>
      <w:pPr>
        <w:pStyle w:val="Heading3"/>
      </w:pPr>
      <w:r>
        <w:t xml:space="preserve">1.2.3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8"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leo\AppData\Local\Program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2"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2"/>
    </w:p>
    <w:p>
      <w:pPr>
        <w:pStyle w:val="FirstParagraph"/>
      </w:pPr>
      <m:oMath>
        <m:r>
          <m:t>C</m:t>
        </m:r>
      </m:oMath>
      <w:r>
        <w:t xml:space="preserve"> </w:t>
      </w:r>
      <w:r>
        <w:t xml:space="preserve">… C Eingang</w:t>
      </w:r>
    </w:p>
    <w:p>
      <w:pPr>
        <w:pStyle w:val="BodyText"/>
      </w:pPr>
      <m:oMath>
        <m:r>
          <m:t>D</m:t>
        </m:r>
      </m:oMath>
      <w:r>
        <w:t xml:space="preserve"> </w:t>
      </w:r>
      <w:r>
        <w:t xml:space="preserve">… D Eingang</w:t>
      </w:r>
    </w:p>
    <w:p>
      <w:pPr>
        <w:pStyle w:val="BodyText"/>
      </w:pPr>
      <m:oMath>
        <m:r>
          <m:t>Y</m:t>
        </m:r>
      </m:oMath>
      <w:r>
        <w:t xml:space="preserve"> </w:t>
      </w:r>
      <w:r>
        <w:t xml:space="preserve">… Y Ausgang</w:t>
      </w:r>
    </w:p>
    <w:p>
      <w:pPr>
        <w:pStyle w:val="BodyText"/>
      </w:pPr>
      <m:oMath>
        <m:r>
          <m:t>A</m:t>
        </m:r>
      </m:oMath>
      <w:r>
        <w:t xml:space="preserve"> </w:t>
      </w:r>
      <w:r>
        <w:t xml:space="preserve">… A Eingang</w:t>
      </w:r>
    </w:p>
    <w:p>
      <w:pPr>
        <w:pStyle w:val="BodyText"/>
      </w:pPr>
      <m:oMath>
        <m:r>
          <m:t>B</m:t>
        </m:r>
      </m:oMath>
      <w:r>
        <w:t xml:space="preserve"> </w:t>
      </w:r>
      <w:r>
        <w:t xml:space="preserve">… B Eingang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3"/>
    <w:bookmarkStart w:id="40" w:name="schaltung"/>
    <w:p>
      <w:pPr>
        <w:pStyle w:val="Heading3"/>
      </w:pPr>
      <w:r>
        <w:t xml:space="preserve">1.2.4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leo\AppData\Local\Programs\Quarto\share\formats\docx\note.png" id="3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9" w:name="fig-schaltungs1"/>
          <w:p>
            <w:pPr>
              <w:pStyle w:val="Compact"/>
              <w:jc w:val="center"/>
            </w:pPr>
            <w:r>
              <w:drawing>
                <wp:inline>
                  <wp:extent cx="5019675" cy="2971800"/>
                  <wp:effectExtent b="0" l="0" r="0" t="0"/>
                  <wp:docPr descr="" title="" id="37" name="Picture"/>
                  <a:graphic>
                    <a:graphicData uri="http://schemas.openxmlformats.org/drawingml/2006/picture">
                      <pic:pic>
                        <pic:nvPicPr>
                          <pic:cNvPr descr="Logik\KombinatorischeLogik/01.05_BoolscheAlgebra_files/figure-docx/fig-schaltungs1-output-1.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9"/>
        </w:tc>
      </w:tr>
    </w:tbl>
    <w:bookmarkEnd w:id="40"/>
    <w:bookmarkEnd w:id="41"/>
    <w:bookmarkStart w:id="69" w:name="beispiele-zur-booleschen-algebra"/>
    <w:p>
      <w:pPr>
        <w:pStyle w:val="Heading2"/>
      </w:pPr>
      <w:r>
        <w:t xml:space="preserve">1.3 Beispiele zur Booleschen Algebra</w:t>
      </w:r>
    </w:p>
    <w:bookmarkStart w:id="45" w:name="X381f9b9bdc1961ea3f9e443418b78421ae51815"/>
    <w:p>
      <w:pPr>
        <w:pStyle w:val="Heading3"/>
      </w:pPr>
      <w:r>
        <w:t xml:space="preserve">1.3.1 Beispiel 1: Vereinfachung mit Distributivgesetz</w:t>
      </w:r>
    </w:p>
    <w:bookmarkStart w:id="42" w:name="aufgabe"/>
    <w:p>
      <w:pPr>
        <w:pStyle w:val="Heading4"/>
      </w:pPr>
      <w:r>
        <w:t xml:space="preserve">1.3.1.1 Aufgabe</w:t>
      </w:r>
    </w:p>
    <w:p>
      <w:pPr>
        <w:pStyle w:val="FirstParagraph"/>
      </w:pPr>
      <w:r>
        <w:t xml:space="preserve">Vereinfachen Sie folgende Boolesche Gleichung:</w:t>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oMath>
      </m:oMathPara>
    </w:p>
    <w:bookmarkEnd w:id="42"/>
    <w:bookmarkStart w:id="43" w:name="lösung"/>
    <w:p>
      <w:pPr>
        <w:pStyle w:val="Heading4"/>
      </w:pPr>
      <w:r>
        <w:t xml:space="preserve">1.3.1.2 Lösung</w:t>
      </w:r>
    </w:p>
    <w:p>
      <w:pPr>
        <w:pStyle w:val="FirstParagraph"/>
      </w:pPr>
      <w:r>
        <w:rPr>
          <w:b/>
          <w:bCs/>
        </w:rPr>
        <w:t xml:space="preserve">Schritt 1:</w:t>
      </w:r>
      <w:r>
        <w:t xml:space="preserve"> </w:t>
      </w:r>
      <w:r>
        <w:t xml:space="preserve">Anwendung des Distributivgesetzes</w:t>
      </w:r>
      <w:r>
        <w:br/>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r>
            <m:rPr>
              <m:sty m:val="p"/>
            </m:rPr>
            <m:t>=</m:t>
          </m:r>
          <m:r>
            <m:t>A</m:t>
          </m:r>
          <m:r>
            <m:rPr>
              <m:sty m:val="p"/>
            </m:rPr>
            <m:t>∧</m:t>
          </m:r>
          <m:d>
            <m:dPr>
              <m:begChr m:val="("/>
              <m:sepChr m:val=""/>
              <m:endChr m:val=")"/>
              <m:grow/>
            </m:dPr>
            <m:e>
              <m:r>
                <m:t>B</m:t>
              </m:r>
              <m:r>
                <m:rPr>
                  <m:sty m:val="p"/>
                </m:rPr>
                <m:t>∨</m:t>
              </m:r>
              <m:r>
                <m:t>C</m:t>
              </m:r>
            </m:e>
          </m:d>
        </m:oMath>
      </m:oMathPara>
    </w:p>
    <w:p>
      <w:pPr>
        <w:pStyle w:val="FirstParagraph"/>
      </w:pPr>
      <w:r>
        <w:t xml:space="preserve">Das Distributivgesetz der Konjunktion über die Disjunktion besagt:</w:t>
      </w:r>
    </w:p>
    <w:p>
      <w:pPr>
        <w:pStyle w:val="BodyText"/>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m:oMathPara>
    </w:p>
    <w:p>
      <w:pPr>
        <w:pStyle w:val="FirstParagraph"/>
      </w:pPr>
      <w:r>
        <w:t xml:space="preserve">Daher können wir dies in umgekehrter Richtung anwenden und das gemeinsame</w:t>
      </w:r>
      <w:r>
        <w:t xml:space="preserve"> </w:t>
      </w:r>
      <m:oMath>
        <m:r>
          <m:t>A</m:t>
        </m:r>
      </m:oMath>
      <w:r>
        <w:t xml:space="preserve"> </w:t>
      </w:r>
      <w:r>
        <w:t xml:space="preserve">ausklammern.</w:t>
      </w:r>
    </w:p>
    <w:p>
      <w:pPr>
        <w:pStyle w:val="BodyText"/>
      </w:pPr>
      <w:r>
        <w:rPr>
          <w:b/>
          <w:bCs/>
        </w:rPr>
        <w:t xml:space="preserve">Ergebnis:</w:t>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r>
                <m:t>C</m:t>
              </m:r>
            </m:e>
          </m:d>
        </m:oMath>
      </m:oMathPara>
    </w:p>
    <w:bookmarkEnd w:id="43"/>
    <w:bookmarkStart w:id="44" w:name="interpretation"/>
    <w:p>
      <w:pPr>
        <w:pStyle w:val="Heading4"/>
      </w:pPr>
      <w:r>
        <w:t xml:space="preserve">1.3.1.3 Interpretation</w:t>
      </w:r>
    </w:p>
    <w:p>
      <w:pPr>
        <w:pStyle w:val="Compact"/>
        <w:numPr>
          <w:ilvl w:val="0"/>
          <w:numId w:val="1001"/>
        </w:numPr>
      </w:pPr>
      <w:r>
        <w:rPr>
          <w:b/>
          <w:bCs/>
        </w:rPr>
        <w:t xml:space="preserve">Vorher:</w:t>
      </w:r>
      <w:r>
        <w:t xml:space="preserve"> </w:t>
      </w:r>
      <w:r>
        <w:t xml:space="preserve">AND von A und B, ODER AND von A und C (benötigt 2 AND-Gatter und 1 OR-Gatter)</w:t>
      </w:r>
    </w:p>
    <w:p>
      <w:pPr>
        <w:pStyle w:val="Compact"/>
        <w:numPr>
          <w:ilvl w:val="0"/>
          <w:numId w:val="1001"/>
        </w:numPr>
      </w:pPr>
      <w:r>
        <w:rPr>
          <w:b/>
          <w:bCs/>
        </w:rPr>
        <w:t xml:space="preserve">Nachher:</w:t>
      </w:r>
      <w:r>
        <w:t xml:space="preserve"> </w:t>
      </w:r>
      <w:r>
        <w:t xml:space="preserve">A AND (B OR C) (benötigt 1 OR-Gatter und 1 AND-Gatter)</w:t>
      </w:r>
      <w:r>
        <w:br/>
      </w:r>
      <w:r>
        <w:t xml:space="preserve">→ Vereinfachung: Weniger Gatter erforderlich</w:t>
      </w:r>
    </w:p>
    <w:bookmarkEnd w:id="44"/>
    <w:bookmarkEnd w:id="45"/>
    <w:bookmarkStart w:id="49" w:name="X1d0a2c634317b0e0f8ba82c35abbf16c9ba018e"/>
    <w:p>
      <w:pPr>
        <w:pStyle w:val="Heading3"/>
      </w:pPr>
      <w:r>
        <w:t xml:space="preserve">1.3.2 Beispiel 2: Vereinfachung mit Absorption und Komplementarität</w:t>
      </w:r>
    </w:p>
    <w:bookmarkStart w:id="46" w:name="aufgabe-1"/>
    <w:p>
      <w:pPr>
        <w:pStyle w:val="Heading4"/>
      </w:pPr>
      <w:r>
        <w:t xml:space="preserve">1.3.2.1 Aufgabe</w:t>
      </w:r>
    </w:p>
    <w:p>
      <w:pPr>
        <w:pStyle w:val="FirstParagraph"/>
      </w:pPr>
      <w:r>
        <w:t xml:space="preserve">Vereinfachen Sie folgende Boolesche Gleichung:</w:t>
      </w:r>
    </w:p>
    <w:p>
      <w:pPr>
        <w:pStyle w:val="BodyText"/>
      </w:pPr>
      <m:oMathPara>
        <m:oMathParaPr>
          <m:jc m:val="center"/>
        </m:oMathParaPr>
        <m:oMath>
          <m:r>
            <m:t>Y</m:t>
          </m:r>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acc>
                <m:accPr>
                  <m:chr m:val="‾"/>
                </m:accPr>
                <m:e>
                  <m:r>
                    <m:t>B</m:t>
                  </m:r>
                </m:e>
              </m:acc>
            </m:e>
          </m:d>
        </m:oMath>
      </m:oMathPara>
    </w:p>
    <w:bookmarkEnd w:id="46"/>
    <w:bookmarkStart w:id="47" w:name="lösung-1"/>
    <w:p>
      <w:pPr>
        <w:pStyle w:val="Heading4"/>
      </w:pPr>
      <w:r>
        <w:t xml:space="preserve">1.3.2.2 Lösung</w:t>
      </w:r>
    </w:p>
    <w:p>
      <w:pPr>
        <w:pStyle w:val="FirstParagraph"/>
      </w:pPr>
      <w:r>
        <w:rPr>
          <w:b/>
          <w:bCs/>
        </w:rPr>
        <w:t xml:space="preserve">Schritt 1:</w:t>
      </w:r>
      <w:r>
        <w:t xml:space="preserve"> </w:t>
      </w:r>
      <w:r>
        <w:t xml:space="preserve">Anwendung des Distributivgesetzes (OR über AND)</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oMath>
      </m:oMathPara>
    </w:p>
    <w:p>
      <w:pPr>
        <w:pStyle w:val="FirstParagraph"/>
      </w:pPr>
      <w:r>
        <w:rPr>
          <w:b/>
          <w:bCs/>
        </w:rPr>
        <w:t xml:space="preserve">Schritt 2:</w:t>
      </w:r>
      <w:r>
        <w:t xml:space="preserve"> </w:t>
      </w:r>
      <w:r>
        <w:t xml:space="preserve">Anwendung der Komplementarität</w:t>
      </w:r>
      <w:r>
        <w:br/>
      </w:r>
      <w:r>
        <w:t xml:space="preserve">Da</w:t>
      </w:r>
      <w:r>
        <w:t xml:space="preserve"> </w:t>
      </w:r>
      <m:oMath>
        <m:r>
          <m:t>B</m:t>
        </m:r>
        <m:r>
          <m:rPr>
            <m:sty m:val="p"/>
          </m:rPr>
          <m:t>∧</m:t>
        </m:r>
        <m:acc>
          <m:accPr>
            <m:chr m:val="‾"/>
          </m:accPr>
          <m:e>
            <m:r>
              <m:t>B</m:t>
            </m:r>
          </m:e>
        </m:acc>
        <m:r>
          <m:rPr>
            <m:sty m:val="p"/>
          </m:rPr>
          <m:t>=</m:t>
        </m:r>
        <m:r>
          <m:t>0</m:t>
        </m:r>
      </m:oMath>
      <w:r>
        <w:t xml:space="preserve"> </w:t>
      </w:r>
      <w:r>
        <w:t xml:space="preserve">(Komplementarität):</w:t>
      </w:r>
    </w:p>
    <w:p>
      <w:pPr>
        <w:pStyle w:val="BodyText"/>
      </w:pPr>
      <m:oMathPara>
        <m:oMathParaPr>
          <m:jc m:val="center"/>
        </m:oMathParaPr>
        <m:oMath>
          <m:r>
            <m:t>Y</m:t>
          </m:r>
          <m:r>
            <m:rPr>
              <m:sty m:val="p"/>
            </m:rPr>
            <m:t>=</m:t>
          </m:r>
          <m:r>
            <m:t>A</m:t>
          </m:r>
          <m:r>
            <m:rPr>
              <m:sty m:val="p"/>
            </m:rPr>
            <m:t>∨</m:t>
          </m:r>
          <m:r>
            <m:t>0</m:t>
          </m:r>
        </m:oMath>
      </m:oMathPara>
    </w:p>
    <w:p>
      <w:pPr>
        <w:pStyle w:val="FirstParagraph"/>
      </w:pPr>
      <w:r>
        <w:rPr>
          <w:b/>
          <w:bCs/>
        </w:rPr>
        <w:t xml:space="preserve">Schritt 3:</w:t>
      </w:r>
      <w:r>
        <w:t xml:space="preserve"> </w:t>
      </w:r>
      <w:r>
        <w:t xml:space="preserve">Anwendung der Identität</w:t>
      </w:r>
      <w:r>
        <w:br/>
      </w:r>
      <w:r>
        <w:t xml:space="preserve">Da</w:t>
      </w:r>
      <w:r>
        <w:t xml:space="preserve"> </w:t>
      </w:r>
      <m:oMath>
        <m:r>
          <m:t>A</m:t>
        </m:r>
        <m:r>
          <m:rPr>
            <m:sty m:val="p"/>
          </m:rPr>
          <m:t>∨</m:t>
        </m:r>
        <m:r>
          <m:t>0</m:t>
        </m:r>
        <m:r>
          <m:rPr>
            <m:sty m:val="p"/>
          </m:rPr>
          <m:t>=</m:t>
        </m:r>
        <m:r>
          <m:t>A</m:t>
        </m:r>
      </m:oMath>
      <w:r>
        <w:t xml:space="preserve"> </w:t>
      </w:r>
      <w:r>
        <w:t xml:space="preserve">(Identität):</w:t>
      </w:r>
    </w:p>
    <w:p>
      <w:pPr>
        <w:pStyle w:val="BodyText"/>
      </w:pPr>
      <m:oMathPara>
        <m:oMathParaPr>
          <m:jc m:val="center"/>
        </m:oMathParaPr>
        <m:oMath>
          <m:r>
            <m:t>Y</m:t>
          </m:r>
          <m:r>
            <m:rPr>
              <m:sty m:val="p"/>
            </m:rPr>
            <m:t>=</m:t>
          </m:r>
          <m:r>
            <m:t>A</m:t>
          </m:r>
        </m:oMath>
      </m:oMathPara>
    </w:p>
    <w:p>
      <w:pPr>
        <w:pStyle w:val="FirstParagraph"/>
      </w:pPr>
      <w:r>
        <w:rPr>
          <w:b/>
          <w:bCs/>
        </w:rPr>
        <w:t xml:space="preserve">Ergebnis:</w:t>
      </w:r>
    </w:p>
    <w:p>
      <w:pPr>
        <w:pStyle w:val="BodyText"/>
      </w:pPr>
      <m:oMathPara>
        <m:oMathParaPr>
          <m:jc m:val="center"/>
        </m:oMathParaPr>
        <m:oMath>
          <m:r>
            <m:t>Y</m:t>
          </m:r>
          <m:r>
            <m:rPr>
              <m:sty m:val="p"/>
            </m:rPr>
            <m:t>=</m:t>
          </m:r>
          <m:r>
            <m:t>A</m:t>
          </m:r>
        </m:oMath>
      </m:oMathPara>
    </w:p>
    <w:bookmarkEnd w:id="47"/>
    <w:bookmarkStart w:id="48" w:name="interpretation-1"/>
    <w:p>
      <w:pPr>
        <w:pStyle w:val="Heading4"/>
      </w:pPr>
      <w:r>
        <w:t xml:space="preserve">1.3.2.3 Interpretation</w:t>
      </w:r>
    </w:p>
    <w:p>
      <w:pPr>
        <w:pStyle w:val="FirstParagraph"/>
      </w:pPr>
      <w:r>
        <w:t xml:space="preserve">Die gesamte Schaltung reduziert sich zu einem einfachen Draht, der das Signal A durchleitet!</w:t>
      </w:r>
    </w:p>
    <w:bookmarkEnd w:id="48"/>
    <w:bookmarkEnd w:id="49"/>
    <w:bookmarkStart w:id="53" w:name="beispiel-3-de-morgans-regeln"/>
    <w:p>
      <w:pPr>
        <w:pStyle w:val="Heading3"/>
      </w:pPr>
      <w:r>
        <w:t xml:space="preserve">1.3.3 Beispiel 3: De Morgans Regeln</w:t>
      </w:r>
    </w:p>
    <w:bookmarkStart w:id="50" w:name="aufgabe-2"/>
    <w:p>
      <w:pPr>
        <w:pStyle w:val="Heading4"/>
      </w:pPr>
      <w:r>
        <w:t xml:space="preserve">1.3.3.1 Aufgabe</w:t>
      </w:r>
    </w:p>
    <w:p>
      <w:pPr>
        <w:pStyle w:val="FirstParagraph"/>
      </w:pPr>
      <w:r>
        <w:t xml:space="preserve">Vereinfachen Sie unter Verwendung von De Morgans Regeln:</w:t>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oMath>
      </m:oMathPara>
    </w:p>
    <w:bookmarkEnd w:id="50"/>
    <w:bookmarkStart w:id="51" w:name="lösung-2"/>
    <w:p>
      <w:pPr>
        <w:pStyle w:val="Heading4"/>
      </w:pPr>
      <w:r>
        <w:t xml:space="preserve">1.3.3.2 Lösung</w:t>
      </w:r>
    </w:p>
    <w:p>
      <w:pPr>
        <w:pStyle w:val="FirstParagraph"/>
      </w:pPr>
      <w:r>
        <w:rPr>
          <w:b/>
          <w:bCs/>
        </w:rPr>
        <w:t xml:space="preserve">Schritt 1:</w:t>
      </w:r>
      <w:r>
        <w:t xml:space="preserve"> </w:t>
      </w:r>
      <w:r>
        <w:t xml:space="preserve">Anwendung von De Morgans Regel für AND</w:t>
      </w:r>
      <w:r>
        <w:br/>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r>
            <m:rPr>
              <m:sty m:val="p"/>
            </m:rPr>
            <m:t>=</m:t>
          </m:r>
          <m:acc>
            <m:accPr>
              <m:chr m:val="‾"/>
            </m:accPr>
            <m:e>
              <m:r>
                <m:t>A</m:t>
              </m:r>
            </m:e>
          </m:acc>
          <m:r>
            <m:rPr>
              <m:sty m:val="p"/>
            </m:rPr>
            <m:t>∨</m:t>
          </m:r>
          <m:acc>
            <m:accPr>
              <m:chr m:val="‾"/>
            </m:accPr>
            <m:e>
              <m:r>
                <m:t>B</m:t>
              </m:r>
            </m:e>
          </m:acc>
          <m:r>
            <m:rPr>
              <m:sty m:val="p"/>
            </m:rPr>
            <m:t>∨</m:t>
          </m:r>
          <m:acc>
            <m:accPr>
              <m:chr m:val="‾"/>
            </m:accPr>
            <m:e>
              <m:r>
                <m:t>C</m:t>
              </m:r>
            </m:e>
          </m:acc>
        </m:oMath>
      </m:oMathPara>
    </w:p>
    <w:p>
      <w:pPr>
        <w:pStyle w:val="FirstParagraph"/>
      </w:pPr>
      <w:r>
        <w:t xml:space="preserve">De Morgans Regel besagt:</w:t>
      </w:r>
      <w:r>
        <w:t xml:space="preserve"> </w:t>
      </w: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p>
      <w:pPr>
        <w:pStyle w:val="BodyText"/>
      </w:pPr>
      <w:r>
        <w:t xml:space="preserve">Diese kann auf mehrere Variablen erweitert werden: Das NOT einer AND-Operation ist gleich der OR-Operation der negierten Eingänge.</w:t>
      </w:r>
    </w:p>
    <w:p>
      <w:pPr>
        <w:pStyle w:val="BodyText"/>
      </w:pPr>
      <w:r>
        <w:rPr>
          <w:b/>
          <w:bCs/>
        </w:rPr>
        <w:t xml:space="preserve">Ergebnis:</w:t>
      </w:r>
    </w:p>
    <w:p>
      <w:pPr>
        <w:pStyle w:val="BodyText"/>
      </w:pPr>
      <m:oMathPara>
        <m:oMathParaPr>
          <m:jc m:val="center"/>
        </m:oMathParaPr>
        <m:oMath>
          <m:r>
            <m:t>Y</m:t>
          </m:r>
          <m:r>
            <m:rPr>
              <m:sty m:val="p"/>
            </m:rPr>
            <m:t>=</m:t>
          </m:r>
          <m:acc>
            <m:accPr>
              <m:chr m:val="‾"/>
            </m:accPr>
            <m:e>
              <m:r>
                <m:t>A</m:t>
              </m:r>
            </m:e>
          </m:acc>
          <m:r>
            <m:rPr>
              <m:sty m:val="p"/>
            </m:rPr>
            <m:t>∨</m:t>
          </m:r>
          <m:acc>
            <m:accPr>
              <m:chr m:val="‾"/>
            </m:accPr>
            <m:e>
              <m:r>
                <m:t>B</m:t>
              </m:r>
            </m:e>
          </m:acc>
          <m:r>
            <m:rPr>
              <m:sty m:val="p"/>
            </m:rPr>
            <m:t>∨</m:t>
          </m:r>
          <m:acc>
            <m:accPr>
              <m:chr m:val="‾"/>
            </m:accPr>
            <m:e>
              <m:r>
                <m:t>C</m:t>
              </m:r>
            </m:e>
          </m:acc>
        </m:oMath>
      </m:oMathPara>
    </w:p>
    <w:bookmarkEnd w:id="51"/>
    <w:bookmarkStart w:id="52" w:name="interpretation-2"/>
    <w:p>
      <w:pPr>
        <w:pStyle w:val="Heading4"/>
      </w:pPr>
      <w:r>
        <w:t xml:space="preserve">1.3.3.3 Interpretation</w:t>
      </w:r>
    </w:p>
    <w:p>
      <w:pPr>
        <w:pStyle w:val="Compact"/>
        <w:numPr>
          <w:ilvl w:val="0"/>
          <w:numId w:val="1002"/>
        </w:numPr>
      </w:pPr>
      <w:r>
        <w:rPr>
          <w:b/>
          <w:bCs/>
        </w:rPr>
        <w:t xml:space="preserve">Vorher:</w:t>
      </w:r>
      <w:r>
        <w:t xml:space="preserve"> </w:t>
      </w:r>
      <w:r>
        <w:t xml:space="preserve">Ein NAND-Gatter mit 3 Eingängen</w:t>
      </w:r>
    </w:p>
    <w:p>
      <w:pPr>
        <w:pStyle w:val="Compact"/>
        <w:numPr>
          <w:ilvl w:val="0"/>
          <w:numId w:val="1002"/>
        </w:numPr>
      </w:pPr>
      <w:r>
        <w:rPr>
          <w:b/>
          <w:bCs/>
        </w:rPr>
        <w:t xml:space="preserve">Nachher:</w:t>
      </w:r>
      <w:r>
        <w:t xml:space="preserve"> </w:t>
      </w:r>
      <w:r>
        <w:t xml:space="preserve">Drei NOT-Gatter und ein OR-Gatter mit 3 Eingängen</w:t>
      </w:r>
      <w:r>
        <w:br/>
      </w:r>
      <w:r>
        <w:t xml:space="preserve">→ Diese Umwandlung ist wichtig für Implementierungen, bei denen nur bestimmte Gattertypen verfügbar sind</w:t>
      </w:r>
    </w:p>
    <w:bookmarkEnd w:id="52"/>
    <w:bookmarkEnd w:id="53"/>
    <w:bookmarkStart w:id="57" w:name="beispiel-4-komplexe-vereinfachung"/>
    <w:p>
      <w:pPr>
        <w:pStyle w:val="Heading3"/>
      </w:pPr>
      <w:r>
        <w:t xml:space="preserve">1.3.4 Beispiel 4: Komplexe Vereinfachung</w:t>
      </w:r>
    </w:p>
    <w:bookmarkStart w:id="54" w:name="aufgabe-3"/>
    <w:p>
      <w:pPr>
        <w:pStyle w:val="Heading4"/>
      </w:pPr>
      <w:r>
        <w:t xml:space="preserve">1.3.4.1 Aufgabe</w:t>
      </w:r>
    </w:p>
    <w:p>
      <w:pPr>
        <w:pStyle w:val="FirstParagraph"/>
      </w:pPr>
      <w:r>
        <w:t xml:space="preserve">Vereinfachen Sie:</w:t>
      </w:r>
    </w:p>
    <w:p>
      <w:pPr>
        <w:pStyle w:val="BodyText"/>
      </w:pPr>
      <m:oMathPara>
        <m:oMathParaPr>
          <m:jc m:val="center"/>
        </m:oMathParaPr>
        <m:oMath>
          <m:r>
            <m:t>Y</m:t>
          </m:r>
          <m:r>
            <m:rPr>
              <m:sty m:val="p"/>
            </m:rPr>
            <m:t>=</m:t>
          </m:r>
          <m:r>
            <m:t>A</m:t>
          </m:r>
          <m:r>
            <m:rPr>
              <m:sty m:val="p"/>
            </m:rPr>
            <m:t>∧</m:t>
          </m:r>
          <m:r>
            <m:t>B</m:t>
          </m:r>
          <m:r>
            <m:rPr>
              <m:sty m:val="p"/>
            </m:rPr>
            <m:t>∨</m:t>
          </m:r>
          <m:r>
            <m:t>A</m:t>
          </m:r>
          <m:r>
            <m:rPr>
              <m:sty m:val="p"/>
            </m:rPr>
            <m:t>∧</m:t>
          </m:r>
          <m:acc>
            <m:accPr>
              <m:chr m:val="‾"/>
            </m:accPr>
            <m:e>
              <m:r>
                <m:t>B</m:t>
              </m:r>
            </m:e>
          </m:acc>
          <m:r>
            <m:rPr>
              <m:sty m:val="p"/>
            </m:rPr>
            <m:t>∨</m:t>
          </m:r>
          <m:acc>
            <m:accPr>
              <m:chr m:val="‾"/>
            </m:accPr>
            <m:e>
              <m:r>
                <m:t>A</m:t>
              </m:r>
            </m:e>
          </m:acc>
          <m:r>
            <m:rPr>
              <m:sty m:val="p"/>
            </m:rPr>
            <m:t>∧</m:t>
          </m:r>
          <m:r>
            <m:t>B</m:t>
          </m:r>
        </m:oMath>
      </m:oMathPara>
    </w:p>
    <w:bookmarkEnd w:id="54"/>
    <w:bookmarkStart w:id="55" w:name="lösung-3"/>
    <w:p>
      <w:pPr>
        <w:pStyle w:val="Heading4"/>
      </w:pPr>
      <w:r>
        <w:t xml:space="preserve">1.3.4.2 Lösung</w:t>
      </w:r>
    </w:p>
    <w:p>
      <w:pPr>
        <w:pStyle w:val="FirstParagraph"/>
      </w:pPr>
      <w:r>
        <w:rPr>
          <w:b/>
          <w:bCs/>
        </w:rPr>
        <w:t xml:space="preserve">Schritt 1:</w:t>
      </w:r>
      <w:r>
        <w:t xml:space="preserve"> </w:t>
      </w:r>
      <w:r>
        <w:t xml:space="preserve">Gruppieren Sie die ersten zwei Terme (Distributivgesetz)</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r>
            <m:rPr>
              <m:sty m:val="p"/>
            </m:rPr>
            <m:t>∨</m:t>
          </m:r>
          <m:acc>
            <m:accPr>
              <m:chr m:val="‾"/>
            </m:accPr>
            <m:e>
              <m:r>
                <m:t>A</m:t>
              </m:r>
            </m:e>
          </m:acc>
          <m:r>
            <m:rPr>
              <m:sty m:val="p"/>
            </m:rPr>
            <m:t>∧</m:t>
          </m:r>
          <m:r>
            <m:t>B</m:t>
          </m:r>
        </m:oMath>
      </m:oMathPara>
    </w:p>
    <w:p>
      <w:pPr>
        <w:pStyle w:val="FirstParagraph"/>
      </w:pPr>
      <w:r>
        <w:rPr>
          <w:b/>
          <w:bCs/>
        </w:rPr>
        <w:t xml:space="preserve">Schritt 2:</w:t>
      </w:r>
      <w:r>
        <w:t xml:space="preserve"> </w:t>
      </w:r>
      <w:r>
        <w:t xml:space="preserve">Komplementarität anwenden</w:t>
      </w:r>
      <w:r>
        <w:br/>
      </w:r>
    </w:p>
    <w:p>
      <w:pPr>
        <w:pStyle w:val="BodyText"/>
      </w:pPr>
      <m:oMathPara>
        <m:oMathParaPr>
          <m:jc m:val="center"/>
        </m:oMathParaPr>
        <m:oMath>
          <m:r>
            <m:t>Y</m:t>
          </m:r>
          <m:r>
            <m:rPr>
              <m:sty m:val="p"/>
            </m:rPr>
            <m:t>=</m:t>
          </m:r>
          <m:r>
            <m:t>A</m:t>
          </m:r>
          <m:r>
            <m:rPr>
              <m:sty m:val="p"/>
            </m:rPr>
            <m:t>∧</m:t>
          </m:r>
          <m:r>
            <m:t>1</m:t>
          </m:r>
          <m:r>
            <m:rPr>
              <m:sty m:val="p"/>
            </m:rPr>
            <m:t>∨</m:t>
          </m:r>
          <m:acc>
            <m:accPr>
              <m:chr m:val="‾"/>
            </m:accPr>
            <m:e>
              <m:r>
                <m:t>A</m:t>
              </m:r>
            </m:e>
          </m:acc>
          <m:r>
            <m:rPr>
              <m:sty m:val="p"/>
            </m:rPr>
            <m:t>∧</m:t>
          </m:r>
          <m:r>
            <m:t>B</m:t>
          </m:r>
        </m:oMath>
      </m:oMathPara>
    </w:p>
    <w:p>
      <w:pPr>
        <w:pStyle w:val="FirstParagraph"/>
      </w:pPr>
      <w:r>
        <w:rPr>
          <w:b/>
          <w:bCs/>
        </w:rPr>
        <w:t xml:space="preserve">Schritt 3:</w:t>
      </w:r>
      <w:r>
        <w:t xml:space="preserve"> </w:t>
      </w:r>
      <w:r>
        <w:t xml:space="preserve">Identität anwenden</w:t>
      </w:r>
      <w:r>
        <w:br/>
      </w:r>
    </w:p>
    <w:p>
      <w:pPr>
        <w:pStyle w:val="BodyText"/>
      </w:pPr>
      <m:oMathPara>
        <m:oMathParaPr>
          <m:jc m:val="center"/>
        </m:oMathParaPr>
        <m:oMath>
          <m:r>
            <m:t>Y</m:t>
          </m:r>
          <m:r>
            <m:rPr>
              <m:sty m:val="p"/>
            </m:rPr>
            <m:t>=</m:t>
          </m:r>
          <m:r>
            <m:t>A</m:t>
          </m:r>
          <m:r>
            <m:rPr>
              <m:sty m:val="p"/>
            </m:rPr>
            <m:t>∨</m:t>
          </m:r>
          <m:acc>
            <m:accPr>
              <m:chr m:val="‾"/>
            </m:accPr>
            <m:e>
              <m:r>
                <m:t>A</m:t>
              </m:r>
            </m:e>
          </m:acc>
          <m:r>
            <m:rPr>
              <m:sty m:val="p"/>
            </m:rPr>
            <m:t>∧</m:t>
          </m:r>
          <m:r>
            <m:t>B</m:t>
          </m:r>
        </m:oMath>
      </m:oMathPara>
    </w:p>
    <w:p>
      <w:pPr>
        <w:pStyle w:val="FirstParagraph"/>
      </w:pPr>
      <w:r>
        <w:rPr>
          <w:b/>
          <w:bCs/>
        </w:rPr>
        <w:t xml:space="preserve">Schritt 4:</w:t>
      </w:r>
      <w:r>
        <w:t xml:space="preserve"> </w:t>
      </w:r>
      <w:r>
        <w:t xml:space="preserve">Absorption anwenden</w:t>
      </w:r>
      <w:r>
        <w:br/>
      </w:r>
      <w:r>
        <w:t xml:space="preserve">Das Absorptionsgesetz besagt:</w:t>
      </w:r>
      <w:r>
        <w:t xml:space="preserve"> </w:t>
      </w:r>
      <m:oMath>
        <m:r>
          <m:t>A</m:t>
        </m:r>
        <m:r>
          <m:rPr>
            <m:sty m:val="p"/>
          </m:rPr>
          <m:t>∨</m:t>
        </m:r>
        <m:acc>
          <m:accPr>
            <m:chr m:val="‾"/>
          </m:accPr>
          <m:e>
            <m:r>
              <m:t>A</m:t>
            </m:r>
          </m:e>
        </m:acc>
        <m:r>
          <m:rPr>
            <m:sty m:val="p"/>
          </m:rPr>
          <m:t>∧</m:t>
        </m:r>
        <m:r>
          <m:t>B</m:t>
        </m:r>
        <m:r>
          <m:rPr>
            <m:sty m:val="p"/>
          </m:rPr>
          <m:t>=</m:t>
        </m:r>
        <m:r>
          <m:t>A</m:t>
        </m:r>
        <m:r>
          <m:rPr>
            <m:sty m:val="p"/>
          </m:rPr>
          <m:t>∨</m:t>
        </m:r>
        <m:r>
          <m:t>B</m:t>
        </m:r>
      </m:oMath>
    </w:p>
    <w:p>
      <w:pPr>
        <w:pStyle w:val="BodyText"/>
      </w:pPr>
      <m:oMathPara>
        <m:oMathParaPr>
          <m:jc m:val="center"/>
        </m:oMathParaPr>
        <m:oMath>
          <m:r>
            <m:t>Y</m:t>
          </m:r>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55"/>
    <w:bookmarkStart w:id="56" w:name="wahrheitstabelle-zur-überprüfung"/>
    <w:p>
      <w:pPr>
        <w:pStyle w:val="Heading4"/>
      </w:pPr>
      <w:r>
        <w:t xml:space="preserve">1.3.4.3 Wahrheitstabelle zur Überprüfung</w:t>
      </w:r>
    </w:p>
    <w:tbl>
      <w:tblPr>
        <w:tblStyle w:val="Table"/>
        <w:tblW w:type="pct" w:w="5000"/>
        <w:tblLayout w:type="fixed"/>
        <w:tblLook w:firstRow="1" w:lastRow="0" w:firstColumn="0" w:lastColumn="0" w:noHBand="0" w:noVBand="0" w:val="0020"/>
      </w:tblPr>
      <w:tblGrid>
        <w:gridCol w:w="304"/>
        <w:gridCol w:w="304"/>
        <w:gridCol w:w="1320"/>
        <w:gridCol w:w="1827"/>
        <w:gridCol w:w="1827"/>
        <w:gridCol w:w="1218"/>
        <w:gridCol w:w="1116"/>
      </w:tblGrid>
      <w:tr>
        <w:trPr>
          <w:tblHeader w:val="on"/>
        </w:trPr>
        <w:tc>
          <w:tcPr/>
          <w:p>
            <w:pPr>
              <w:pStyle w:val="Compact"/>
            </w:pPr>
            <w:r>
              <w:t xml:space="preserve">A</w:t>
            </w:r>
          </w:p>
        </w:tc>
        <w:tc>
          <w:tcPr/>
          <w:p>
            <w:pPr>
              <w:pStyle w:val="Compact"/>
            </w:pPr>
            <w:r>
              <w:t xml:space="preserve">B</w:t>
            </w:r>
          </w:p>
        </w:tc>
        <w:tc>
          <w:tcPr/>
          <w:p>
            <w:pPr>
              <w:pStyle w:val="Compact"/>
            </w:pPr>
            <m:oMath>
              <m:r>
                <m:t>A</m:t>
              </m:r>
              <m:r>
                <m:rPr>
                  <m:sty m:val="p"/>
                </m:rPr>
                <m:t>∧</m:t>
              </m:r>
              <m:r>
                <m:t>B</m:t>
              </m:r>
            </m:oMath>
          </w:p>
        </w:tc>
        <w:tc>
          <w:tcPr/>
          <w:p>
            <w:pPr>
              <w:pStyle w:val="Compact"/>
            </w:pPr>
            <m:oMath>
              <m:r>
                <m:t>A</m:t>
              </m:r>
              <m:r>
                <m:rPr>
                  <m:sty m:val="p"/>
                </m:rPr>
                <m:t>∧</m:t>
              </m:r>
              <m:acc>
                <m:accPr>
                  <m:chr m:val="‾"/>
                </m:accPr>
                <m:e>
                  <m:r>
                    <m:t>B</m:t>
                  </m:r>
                </m:e>
              </m:acc>
            </m:oMath>
          </w:p>
        </w:tc>
        <w:tc>
          <w:tcPr/>
          <w:p>
            <w:pPr>
              <w:pStyle w:val="Compact"/>
            </w:pPr>
            <m:oMath>
              <m:acc>
                <m:accPr>
                  <m:chr m:val="‾"/>
                </m:accPr>
                <m:e>
                  <m:r>
                    <m:t>A</m:t>
                  </m:r>
                </m:e>
              </m:acc>
              <m:r>
                <m:rPr>
                  <m:sty m:val="p"/>
                </m:rPr>
                <m:t>∧</m:t>
              </m:r>
              <m:r>
                <m:t>B</m:t>
              </m:r>
            </m:oMath>
          </w:p>
        </w:tc>
        <w:tc>
          <w:tcPr/>
          <w:p>
            <w:pPr>
              <w:pStyle w:val="Compact"/>
            </w:pPr>
            <w:r>
              <w:t xml:space="preserve">Original Y</w:t>
            </w:r>
          </w:p>
        </w:tc>
        <w:tc>
          <w:tcPr/>
          <w:p>
            <w:pPr>
              <w:pStyle w:val="Compact"/>
            </w:pPr>
            <m:oMath>
              <m:r>
                <m:t>A</m:t>
              </m:r>
              <m:r>
                <m:rPr>
                  <m:sty m:val="p"/>
                </m:rPr>
                <m:t>∨</m:t>
              </m:r>
              <m:r>
                <m:t>B</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Wie zu sehen ist, sind die Ergebnisse identisch - die Vereinfachung ist korrekt!</w:t>
      </w:r>
    </w:p>
    <w:bookmarkEnd w:id="56"/>
    <w:bookmarkEnd w:id="57"/>
    <w:bookmarkStart w:id="61" w:name="Xc9f0d724b33ab22e85121a0c4c5f9241291396f"/>
    <w:p>
      <w:pPr>
        <w:pStyle w:val="Heading3"/>
      </w:pPr>
      <w:r>
        <w:t xml:space="preserve">1.3.5 Beispiel 5: Praktische Anwendung - Fahrstuhl-Logik</w:t>
      </w:r>
    </w:p>
    <w:bookmarkStart w:id="58" w:name="aufgabe-4"/>
    <w:p>
      <w:pPr>
        <w:pStyle w:val="Heading4"/>
      </w:pPr>
      <w:r>
        <w:t xml:space="preserve">1.3.5.1 Aufgabe</w:t>
      </w:r>
    </w:p>
    <w:p>
      <w:pPr>
        <w:pStyle w:val="FirstParagraph"/>
      </w:pPr>
      <w:r>
        <w:t xml:space="preserve">Ein Fahrstuhl darf sich nur bewegen, wenn:</w:t>
      </w:r>
      <w:r>
        <w:t xml:space="preserve"> </w:t>
      </w:r>
      <w:r>
        <w:t xml:space="preserve">-</w:t>
      </w:r>
      <w:r>
        <w:t xml:space="preserve"> </w:t>
      </w:r>
      <w:r>
        <w:rPr>
          <w:b/>
          <w:bCs/>
        </w:rPr>
        <w:t xml:space="preserve">Fall 1:</w:t>
      </w:r>
      <w:r>
        <w:t xml:space="preserve"> </w:t>
      </w:r>
      <w:r>
        <w:t xml:space="preserve">Der Notfallknopf NICHT gedrückt ist ODER</w:t>
      </w:r>
      <w:r>
        <w:t xml:space="preserve"> </w:t>
      </w:r>
      <w:r>
        <w:t xml:space="preserve">-</w:t>
      </w:r>
      <w:r>
        <w:t xml:space="preserve"> </w:t>
      </w:r>
      <w:r>
        <w:rPr>
          <w:b/>
          <w:bCs/>
        </w:rPr>
        <w:t xml:space="preserve">Fall 2:</w:t>
      </w:r>
      <w:r>
        <w:t xml:space="preserve"> </w:t>
      </w:r>
      <w:r>
        <w:t xml:space="preserve">Der Notfallknopf gedrückt ist UND die Türe offen ist (sollte nicht passieren, aber sicherheitshalber verhindert)</w:t>
      </w:r>
    </w:p>
    <w:p>
      <w:pPr>
        <w:pStyle w:val="BodyText"/>
      </w:pPr>
      <w:r>
        <w:t xml:space="preserve">Gegeben:</w:t>
      </w:r>
      <w:r>
        <w:t xml:space="preserve"> </w:t>
      </w:r>
      <w:r>
        <w:t xml:space="preserve">-</w:t>
      </w:r>
      <w:r>
        <w:t xml:space="preserve"> </w:t>
      </w:r>
      <m:oMath>
        <m:r>
          <m:t>N</m:t>
        </m:r>
      </m:oMath>
      <w:r>
        <w:t xml:space="preserve"> </w:t>
      </w:r>
      <w:r>
        <w:t xml:space="preserve">= Notfallknopf gedrückt (1 = gedrückt)</w:t>
      </w:r>
      <w:r>
        <w:t xml:space="preserve"> </w:t>
      </w:r>
      <w:r>
        <w:t xml:space="preserve">-</w:t>
      </w:r>
      <w:r>
        <w:t xml:space="preserve"> </w:t>
      </w:r>
      <m:oMath>
        <m:r>
          <m:t>T</m:t>
        </m:r>
      </m:oMath>
      <w:r>
        <w:t xml:space="preserve"> </w:t>
      </w:r>
      <w:r>
        <w:t xml:space="preserve">= Türe offen (1 = offen)</w:t>
      </w:r>
      <w:r>
        <w:t xml:space="preserve"> </w:t>
      </w:r>
      <w:r>
        <w:t xml:space="preserve">-</w:t>
      </w:r>
      <w:r>
        <w:t xml:space="preserve"> </w:t>
      </w:r>
      <m:oMath>
        <m:r>
          <m:t>B</m:t>
        </m:r>
      </m:oMath>
      <w:r>
        <w:t xml:space="preserve"> </w:t>
      </w:r>
      <w:r>
        <w:t xml:space="preserve">= Bewegung erlaubt (1 = ja)</w:t>
      </w:r>
    </w:p>
    <w:p>
      <w:pPr>
        <w:pStyle w:val="BodyText"/>
      </w:pPr>
      <w:r>
        <w:t xml:space="preserve">Die Logik:</w:t>
      </w:r>
      <w:r>
        <w:t xml:space="preserve"> </w:t>
      </w:r>
      <m:oMath>
        <m:r>
          <m:t>B</m:t>
        </m:r>
        <m:r>
          <m:rPr>
            <m:sty m:val="p"/>
          </m:rPr>
          <m:t>=</m:t>
        </m:r>
        <m:acc>
          <m:accPr>
            <m:chr m:val="‾"/>
          </m:accPr>
          <m:e>
            <m:r>
              <m:t>N</m:t>
            </m:r>
          </m:e>
        </m:acc>
        <m:r>
          <m:rPr>
            <m:sty m:val="p"/>
          </m:rPr>
          <m:t>∨</m:t>
        </m:r>
        <m:d>
          <m:dPr>
            <m:begChr m:val="("/>
            <m:sepChr m:val=""/>
            <m:endChr m:val=")"/>
            <m:grow/>
          </m:dPr>
          <m:e>
            <m:r>
              <m:t>N</m:t>
            </m:r>
            <m:r>
              <m:rPr>
                <m:sty m:val="p"/>
              </m:rPr>
              <m:t>∧</m:t>
            </m:r>
            <m:r>
              <m:t>T</m:t>
            </m:r>
          </m:e>
        </m:d>
      </m:oMath>
    </w:p>
    <w:p>
      <w:pPr>
        <w:pStyle w:val="BodyText"/>
      </w:pPr>
      <w:r>
        <w:t xml:space="preserve">Vereinfachen Sie diese Gleichung!</w:t>
      </w:r>
    </w:p>
    <w:bookmarkEnd w:id="58"/>
    <w:bookmarkStart w:id="59" w:name="lösung-4"/>
    <w:p>
      <w:pPr>
        <w:pStyle w:val="Heading4"/>
      </w:pPr>
      <w:r>
        <w:t xml:space="preserve">1.3.5.2 Lösung</w:t>
      </w:r>
    </w:p>
    <w:p>
      <w:pPr>
        <w:pStyle w:val="FirstParagraph"/>
      </w:pPr>
      <w:r>
        <w:rPr>
          <w:b/>
          <w:bCs/>
        </w:rPr>
        <w:t xml:space="preserve">Schritt 1:</w:t>
      </w:r>
      <w:r>
        <w:t xml:space="preserve"> </w:t>
      </w:r>
      <w:r>
        <w:t xml:space="preserve">Absorption-ähnliche Vereinfachung</w:t>
      </w:r>
      <w:r>
        <w:br/>
      </w:r>
    </w:p>
    <w:p>
      <w:pPr>
        <w:pStyle w:val="BodyText"/>
      </w:pPr>
      <m:oMathPara>
        <m:oMathParaPr>
          <m:jc m:val="center"/>
        </m:oMathParaPr>
        <m:oMath>
          <m:r>
            <m:t>B</m:t>
          </m:r>
          <m:r>
            <m:rPr>
              <m:sty m:val="p"/>
            </m:rPr>
            <m:t>=</m:t>
          </m:r>
          <m:acc>
            <m:accPr>
              <m:chr m:val="‾"/>
            </m:accPr>
            <m:e>
              <m:r>
                <m:t>N</m:t>
              </m:r>
            </m:e>
          </m:acc>
          <m:r>
            <m:rPr>
              <m:sty m:val="p"/>
            </m:rPr>
            <m:t>∨</m:t>
          </m:r>
          <m:d>
            <m:dPr>
              <m:begChr m:val="("/>
              <m:sepChr m:val=""/>
              <m:endChr m:val=")"/>
              <m:grow/>
            </m:dPr>
            <m:e>
              <m:r>
                <m:t>N</m:t>
              </m:r>
              <m:r>
                <m:rPr>
                  <m:sty m:val="p"/>
                </m:rPr>
                <m:t>∧</m:t>
              </m:r>
              <m:r>
                <m:t>T</m:t>
              </m:r>
            </m:e>
          </m:d>
        </m:oMath>
      </m:oMathPara>
    </w:p>
    <w:p>
      <w:pPr>
        <w:pStyle w:val="FirstParagraph"/>
      </w:pPr>
      <w:r>
        <w:t xml:space="preserve">Wir wenden folgende Logik an: Wenn</w:t>
      </w:r>
      <w:r>
        <w:t xml:space="preserve"> </w:t>
      </w:r>
      <m:oMath>
        <m:acc>
          <m:accPr>
            <m:chr m:val="‾"/>
          </m:accPr>
          <m:e>
            <m:r>
              <m:t>N</m:t>
            </m:r>
          </m:e>
        </m:acc>
      </m:oMath>
      <w:r>
        <w:t xml:space="preserve"> </w:t>
      </w:r>
      <w:r>
        <w:t xml:space="preserve">wahr ist, ist der gesamte OR-Term bereits erfüllt, daher:</w:t>
      </w:r>
    </w:p>
    <w:p>
      <w:pPr>
        <w:pStyle w:val="BodyText"/>
      </w:pPr>
      <m:oMathPara>
        <m:oMathParaPr>
          <m:jc m:val="center"/>
        </m:oMathParaPr>
        <m:oMath>
          <m:r>
            <m:t>B</m:t>
          </m:r>
          <m:r>
            <m:rPr>
              <m:sty m:val="p"/>
            </m:rPr>
            <m:t>=</m:t>
          </m:r>
          <m:acc>
            <m:accPr>
              <m:chr m:val="‾"/>
            </m:accPr>
            <m:e>
              <m:r>
                <m:t>N</m:t>
              </m:r>
            </m:e>
          </m:acc>
          <m:r>
            <m:rPr>
              <m:sty m:val="p"/>
            </m:rPr>
            <m:t>∨</m:t>
          </m:r>
          <m:r>
            <m:t>T</m:t>
          </m:r>
        </m:oMath>
      </m:oMathPara>
    </w:p>
    <w:p>
      <w:pPr>
        <w:pStyle w:val="FirstParagraph"/>
      </w:pPr>
      <w:r>
        <w:t xml:space="preserve">Dies ist eine spezielle Form des Absorptionsgesetzes.</w:t>
      </w:r>
    </w:p>
    <w:p>
      <w:pPr>
        <w:pStyle w:val="BodyText"/>
      </w:pPr>
      <w:r>
        <w:rPr>
          <w:b/>
          <w:bCs/>
        </w:rPr>
        <w:t xml:space="preserve">Verifikation mittels Wahrheitstabelle: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T</w:t>
            </w:r>
          </w:p>
        </w:tc>
        <w:tc>
          <w:tcPr/>
          <w:p>
            <w:pPr>
              <w:pStyle w:val="Compact"/>
            </w:pPr>
            <m:oMath>
              <m:acc>
                <m:accPr>
                  <m:chr m:val="‾"/>
                </m:accPr>
                <m:e>
                  <m:r>
                    <m:t>N</m:t>
                  </m:r>
                </m:e>
              </m:acc>
            </m:oMath>
          </w:p>
        </w:tc>
        <w:tc>
          <w:tcPr/>
          <w:p>
            <w:pPr>
              <w:pStyle w:val="Compact"/>
            </w:pPr>
            <m:oMath>
              <m:r>
                <m:t>N</m:t>
              </m:r>
              <m:r>
                <m:rPr>
                  <m:sty m:val="p"/>
                </m:rPr>
                <m:t>∧</m:t>
              </m:r>
              <m:r>
                <m:t>T</m:t>
              </m:r>
            </m:oMath>
          </w:p>
        </w:tc>
        <w:tc>
          <w:tcPr/>
          <w:p>
            <w:pPr>
              <w:pStyle w:val="Compact"/>
            </w:pPr>
            <w:r>
              <w:t xml:space="preserve">Original</w:t>
            </w:r>
          </w:p>
        </w:tc>
        <w:tc>
          <w:tcPr/>
          <w:p>
            <w:pPr>
              <w:pStyle w:val="Compact"/>
            </w:pPr>
            <m:oMath>
              <m:acc>
                <m:accPr>
                  <m:chr m:val="‾"/>
                </m:accPr>
                <m:e>
                  <m:r>
                    <m:t>N</m:t>
                  </m:r>
                </m:e>
              </m:acc>
              <m:r>
                <m:rPr>
                  <m:sty m:val="p"/>
                </m:rPr>
                <m:t>∨</m:t>
              </m:r>
              <m:r>
                <m:t>T</m:t>
              </m:r>
            </m:oMath>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rPr>
          <w:b/>
          <w:bCs/>
        </w:rPr>
        <w:t xml:space="preserve">Ergebnis:</w:t>
      </w:r>
    </w:p>
    <w:p>
      <w:pPr>
        <w:pStyle w:val="BodyText"/>
      </w:pPr>
      <m:oMathPara>
        <m:oMathParaPr>
          <m:jc m:val="center"/>
        </m:oMathParaPr>
        <m:oMath>
          <m:r>
            <m:t>B</m:t>
          </m:r>
          <m:r>
            <m:rPr>
              <m:sty m:val="p"/>
            </m:rPr>
            <m:t>=</m:t>
          </m:r>
          <m:acc>
            <m:accPr>
              <m:chr m:val="‾"/>
            </m:accPr>
            <m:e>
              <m:r>
                <m:t>N</m:t>
              </m:r>
            </m:e>
          </m:acc>
          <m:r>
            <m:rPr>
              <m:sty m:val="p"/>
            </m:rPr>
            <m:t>∨</m:t>
          </m:r>
          <m:r>
            <m:t>T</m:t>
          </m:r>
        </m:oMath>
      </m:oMathPara>
    </w:p>
    <w:bookmarkEnd w:id="59"/>
    <w:bookmarkStart w:id="60" w:name="interpretation-3"/>
    <w:p>
      <w:pPr>
        <w:pStyle w:val="Heading4"/>
      </w:pPr>
      <w:r>
        <w:t xml:space="preserve">1.3.5.3 Interpretation</w:t>
      </w:r>
    </w:p>
    <w:p>
      <w:pPr>
        <w:pStyle w:val="FirstParagraph"/>
      </w:pPr>
      <w:r>
        <w:t xml:space="preserve">Die Bewegung ist erlaubt, wenn entweder der Notfallknopf nicht gedrückt ist ODER die Türe offen ist. Dies ist logischer und sicherer als die ursprüngliche Formulierung.</w:t>
      </w:r>
    </w:p>
    <w:bookmarkEnd w:id="60"/>
    <w:bookmarkEnd w:id="61"/>
    <w:bookmarkStart w:id="64" w:name="Xcda4eee595f672ef72498f78d2936f5e7013548"/>
    <w:p>
      <w:pPr>
        <w:pStyle w:val="Heading3"/>
      </w:pPr>
      <w:r>
        <w:t xml:space="preserve">1.3.6 Beispiel 6: Disjunktive Normalform (DNF) mit Mintermen</w:t>
      </w:r>
    </w:p>
    <w:bookmarkStart w:id="62" w:name="aufgabe-5"/>
    <w:p>
      <w:pPr>
        <w:pStyle w:val="Heading4"/>
      </w:pPr>
      <w:r>
        <w:t xml:space="preserve">1.3.6.1 Aufgabe</w:t>
      </w:r>
    </w:p>
    <w:p>
      <w:pPr>
        <w:pStyle w:val="FirstParagraph"/>
      </w:pPr>
      <w:r>
        <w:t xml:space="preserve">Gegeben ist folgende Wahrheitstabelle. Erstellen Sie die DNF und vereinfachen Sie diese mit Boolescher Algebra: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Y</w:t>
            </w:r>
          </w:p>
        </w:tc>
        <w:tc>
          <w:tcPr/>
          <w:p>
            <w:pPr>
              <w:pStyle w:val="Compact"/>
            </w:pPr>
            <w:r>
              <w:t xml:space="preserve">Minterm</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A</m:t>
                  </m:r>
                </m:e>
              </m:acc>
              <m:r>
                <m:rPr>
                  <m:sty m:val="p"/>
                </m:rPr>
                <m:t>∧</m:t>
              </m:r>
              <m:r>
                <m:t>B</m:t>
              </m:r>
            </m:oMath>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r>
                <m:t>A</m:t>
              </m:r>
              <m:r>
                <m:rPr>
                  <m:sty m:val="p"/>
                </m:rPr>
                <m:t>∧</m:t>
              </m:r>
              <m:acc>
                <m:accPr>
                  <m:chr m:val="‾"/>
                </m:accPr>
                <m:e>
                  <m:r>
                    <m:t>B</m:t>
                  </m:r>
                </m:e>
              </m:acc>
            </m:oMath>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A</m:t>
              </m:r>
              <m:r>
                <m:rPr>
                  <m:sty m:val="p"/>
                </m:rPr>
                <m:t>∧</m:t>
              </m:r>
              <m:r>
                <m:t>B</m:t>
              </m:r>
            </m:oMath>
          </w:p>
        </w:tc>
      </w:tr>
    </w:tbl>
    <w:bookmarkEnd w:id="62"/>
    <w:bookmarkStart w:id="63" w:name="lösung-5"/>
    <w:p>
      <w:pPr>
        <w:pStyle w:val="Heading4"/>
      </w:pPr>
      <w:r>
        <w:t xml:space="preserve">1.3.6.2 Lösung</w:t>
      </w:r>
    </w:p>
    <w:p>
      <w:pPr>
        <w:pStyle w:val="FirstParagraph"/>
      </w:pPr>
      <w:r>
        <w:rPr>
          <w:b/>
          <w:bCs/>
        </w:rPr>
        <w:t xml:space="preserve">Schritt 1: Minterme identifizieren</w:t>
      </w:r>
      <w:r>
        <w:br/>
      </w:r>
      <w:r>
        <w:t xml:space="preserve">Ein</w:t>
      </w:r>
      <w:r>
        <w:t xml:space="preserve"> </w:t>
      </w:r>
      <w:r>
        <w:rPr>
          <w:b/>
          <w:bCs/>
        </w:rPr>
        <w:t xml:space="preserve">Minterm</w:t>
      </w:r>
      <w:r>
        <w:t xml:space="preserve"> </w:t>
      </w:r>
      <w:r>
        <w:t xml:space="preserve">ist eine AND-Verknüpfung aller Variablen. Die Variable wird negiert, wenn sie 0 ist.</w:t>
      </w:r>
    </w:p>
    <w:p>
      <w:pPr>
        <w:pStyle w:val="BodyText"/>
      </w:pPr>
      <w:r>
        <w:t xml:space="preserve">Aus der Tabelle sehen wir die Minterme für alle Zeilen mit Y = 1.</w:t>
      </w:r>
    </w:p>
    <w:p>
      <w:pPr>
        <w:pStyle w:val="BodyText"/>
      </w:pPr>
      <w:r>
        <w:rPr>
          <w:b/>
          <w:bCs/>
        </w:rPr>
        <w:t xml:space="preserve">Schritt 2: DNF aufstellen</w:t>
      </w:r>
      <w:r>
        <w:br/>
      </w:r>
      <w:r>
        <w:t xml:space="preserve">Die</w:t>
      </w:r>
      <w:r>
        <w:t xml:space="preserve"> </w:t>
      </w:r>
      <w:r>
        <w:rPr>
          <w:b/>
          <w:bCs/>
        </w:rPr>
        <w:t xml:space="preserve">Disjunktive Normalform (DNF)</w:t>
      </w:r>
      <w:r>
        <w:t xml:space="preserve"> </w:t>
      </w:r>
      <w:r>
        <w:t xml:space="preserve">ist die OR-Verknüpfung aller Minterme:</w:t>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d>
            <m:dPr>
              <m:begChr m:val="("/>
              <m:sepChr m:val=""/>
              <m:endChr m:val=")"/>
              <m:grow/>
            </m:dPr>
            <m:e>
              <m:r>
                <m:t>A</m:t>
              </m:r>
              <m:r>
                <m:rPr>
                  <m:sty m:val="p"/>
                </m:rPr>
                <m:t>∧</m:t>
              </m:r>
              <m:acc>
                <m:accPr>
                  <m:chr m:val="‾"/>
                </m:accPr>
                <m:e>
                  <m:r>
                    <m:t>B</m:t>
                  </m:r>
                </m:e>
              </m:acc>
            </m:e>
          </m:d>
          <m:r>
            <m:rPr>
              <m:sty m:val="p"/>
            </m:rPr>
            <m:t>∨</m:t>
          </m:r>
          <m:d>
            <m:dPr>
              <m:begChr m:val="("/>
              <m:sepChr m:val=""/>
              <m:endChr m:val=")"/>
              <m:grow/>
            </m:dPr>
            <m:e>
              <m:r>
                <m:t>A</m:t>
              </m:r>
              <m:r>
                <m:rPr>
                  <m:sty m:val="p"/>
                </m:rPr>
                <m:t>∧</m:t>
              </m:r>
              <m:r>
                <m:t>B</m:t>
              </m:r>
            </m:e>
          </m:d>
        </m:oMath>
      </m:oMathPara>
    </w:p>
    <w:p>
      <w:pPr>
        <w:pStyle w:val="FirstParagraph"/>
      </w:pPr>
      <w:r>
        <w:rPr>
          <w:b/>
          <w:bCs/>
        </w:rPr>
        <w:t xml:space="preserve">Schritt 3: Vereinfachung mit Boolescher Algebra</w:t>
      </w:r>
      <w:r>
        <w:br/>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d>
            <m:dPr>
              <m:begChr m:val="("/>
              <m:sepChr m:val=""/>
              <m:endChr m:val=")"/>
              <m:grow/>
            </m:dPr>
            <m:e>
              <m:r>
                <m:t>A</m:t>
              </m:r>
              <m:r>
                <m:rPr>
                  <m:sty m:val="p"/>
                </m:rPr>
                <m:t>∧</m:t>
              </m:r>
              <m:acc>
                <m:accPr>
                  <m:chr m:val="‾"/>
                </m:accPr>
                <m:e>
                  <m:r>
                    <m:t>B</m:t>
                  </m:r>
                </m:e>
              </m:acc>
            </m:e>
          </m:d>
          <m:r>
            <m:rPr>
              <m:sty m:val="p"/>
            </m:rPr>
            <m:t>∨</m:t>
          </m:r>
          <m:d>
            <m:dPr>
              <m:begChr m:val="("/>
              <m:sepChr m:val=""/>
              <m:endChr m:val=")"/>
              <m:grow/>
            </m:dPr>
            <m:e>
              <m:r>
                <m:t>A</m:t>
              </m:r>
              <m:r>
                <m:rPr>
                  <m:sty m:val="p"/>
                </m:rPr>
                <m:t>∧</m:t>
              </m:r>
              <m:r>
                <m:t>B</m:t>
              </m:r>
            </m:e>
          </m:d>
        </m:oMath>
      </m:oMathPara>
    </w:p>
    <w:p>
      <w:pPr>
        <w:pStyle w:val="FirstParagraph"/>
      </w:pPr>
      <w:r>
        <w:t xml:space="preserve">Wir können das Distributivgesetz auf die letzten beiden Terme anwenden:</w:t>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r>
            <m:rPr>
              <m:sty m:val="p"/>
            </m:rPr>
            <m:t>∧</m:t>
          </m:r>
          <m:d>
            <m:dPr>
              <m:begChr m:val="("/>
              <m:sepChr m:val=""/>
              <m:endChr m:val=")"/>
              <m:grow/>
            </m:dPr>
            <m:e>
              <m:acc>
                <m:accPr>
                  <m:chr m:val="‾"/>
                </m:accPr>
                <m:e>
                  <m:r>
                    <m:t>B</m:t>
                  </m:r>
                </m:e>
              </m:acc>
              <m:r>
                <m:rPr>
                  <m:sty m:val="p"/>
                </m:rPr>
                <m:t>∨</m:t>
              </m:r>
              <m:r>
                <m:t>B</m:t>
              </m:r>
            </m:e>
          </m:d>
        </m:oMath>
      </m:oMathPara>
    </w:p>
    <w:p>
      <w:pPr>
        <w:pStyle w:val="FirstParagraph"/>
      </w:pPr>
      <w:r>
        <w:t xml:space="preserve">Komplementarität:</w:t>
      </w:r>
      <w:r>
        <w:t xml:space="preserve"> </w:t>
      </w:r>
      <m:oMath>
        <m:acc>
          <m:accPr>
            <m:chr m:val="‾"/>
          </m:accPr>
          <m:e>
            <m:r>
              <m:t>B</m:t>
            </m:r>
          </m:e>
        </m:acc>
        <m:r>
          <m:rPr>
            <m:sty m:val="p"/>
          </m:rPr>
          <m:t>∨</m:t>
        </m:r>
        <m:r>
          <m:t>B</m:t>
        </m:r>
        <m:r>
          <m:rPr>
            <m:sty m:val="p"/>
          </m:rPr>
          <m:t>=</m:t>
        </m:r>
        <m:r>
          <m:t>1</m:t>
        </m:r>
      </m:oMath>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r>
            <m:rPr>
              <m:sty m:val="p"/>
            </m:rPr>
            <m:t>∧</m:t>
          </m:r>
          <m:r>
            <m:t>1</m:t>
          </m:r>
        </m:oMath>
      </m:oMathPara>
    </w:p>
    <w:p>
      <w:pPr>
        <w:pStyle w:val="FirstParagraph"/>
      </w:pPr>
      <w:r>
        <w:t xml:space="preserve">Identität:</w:t>
      </w:r>
      <w:r>
        <w:t xml:space="preserve"> </w:t>
      </w:r>
      <m:oMath>
        <m:r>
          <m:t>A</m:t>
        </m:r>
        <m:r>
          <m:rPr>
            <m:sty m:val="p"/>
          </m:rPr>
          <m:t>∧</m:t>
        </m:r>
        <m:r>
          <m:t>1</m:t>
        </m:r>
        <m:r>
          <m:rPr>
            <m:sty m:val="p"/>
          </m:rPr>
          <m:t>=</m:t>
        </m:r>
        <m:r>
          <m:t>A</m:t>
        </m:r>
      </m:oMath>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oMath>
      </m:oMathPara>
    </w:p>
    <w:p>
      <w:pPr>
        <w:pStyle w:val="FirstParagraph"/>
      </w:pPr>
      <w:r>
        <w:t xml:space="preserve">Absorption:</w:t>
      </w:r>
      <w:r>
        <w:t xml:space="preserve"> </w:t>
      </w:r>
      <m:oMath>
        <m:d>
          <m:dPr>
            <m:begChr m:val="("/>
            <m:sepChr m:val=""/>
            <m:endChr m:val=")"/>
            <m:grow/>
          </m:dPr>
          <m:e>
            <m:acc>
              <m:accPr>
                <m:chr m:val="‾"/>
              </m:accPr>
              <m:e>
                <m:r>
                  <m:t>A</m:t>
                </m:r>
              </m:e>
            </m:acc>
            <m:r>
              <m:rPr>
                <m:sty m:val="p"/>
              </m:rPr>
              <m:t>∧</m:t>
            </m:r>
            <m:r>
              <m:t>B</m:t>
            </m:r>
          </m:e>
        </m:d>
        <m:r>
          <m:rPr>
            <m:sty m:val="p"/>
          </m:rPr>
          <m:t>∨</m:t>
        </m:r>
        <m:r>
          <m:t>A</m:t>
        </m:r>
        <m:r>
          <m:rPr>
            <m:sty m:val="p"/>
          </m:rPr>
          <m:t>=</m:t>
        </m:r>
        <m:r>
          <m:t>A</m:t>
        </m:r>
        <m:r>
          <m:rPr>
            <m:sty m:val="p"/>
          </m:rPr>
          <m:t>∨</m:t>
        </m:r>
        <m:r>
          <m:t>B</m:t>
        </m:r>
      </m:oMath>
    </w:p>
    <w:p>
      <w:pPr>
        <w:pStyle w:val="BodyText"/>
      </w:pPr>
      <m:oMathPara>
        <m:oMathParaPr>
          <m:jc m:val="center"/>
        </m:oMathParaPr>
        <m:oMath>
          <m:sSub>
            <m:e>
              <m:r>
                <m:t>Y</m:t>
              </m:r>
            </m:e>
            <m:sub>
              <m:r>
                <m:t>D</m:t>
              </m:r>
              <m:r>
                <m:t>N</m:t>
              </m:r>
              <m:r>
                <m:t>F</m:t>
              </m:r>
            </m:sub>
          </m:sSub>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63"/>
    <w:bookmarkEnd w:id="64"/>
    <w:bookmarkStart w:id="68" w:name="X0d4ba3f503dd04510fe872170f696d6a7185e42"/>
    <w:p>
      <w:pPr>
        <w:pStyle w:val="Heading3"/>
      </w:pPr>
      <w:r>
        <w:t xml:space="preserve">1.3.7 Beispiel 7: Konjunktive Normalform (KNF) mit Maxtermen</w:t>
      </w:r>
    </w:p>
    <w:bookmarkStart w:id="65" w:name="aufgabe-6"/>
    <w:p>
      <w:pPr>
        <w:pStyle w:val="Heading4"/>
      </w:pPr>
      <w:r>
        <w:t xml:space="preserve">1.3.7.1 Aufgabe</w:t>
      </w:r>
    </w:p>
    <w:p>
      <w:pPr>
        <w:pStyle w:val="FirstParagraph"/>
      </w:pPr>
      <w:r>
        <w:t xml:space="preserve">Verwenden Sie dieselbe Wahrheitstabelle und erstellen Sie die KNF. Vereinfachen Sie und zeigen Sie, dass das Ergebnis identisch zur DNF 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Y</w:t>
            </w:r>
          </w:p>
        </w:tc>
        <w:tc>
          <w:tcPr/>
          <w:p>
            <w:pPr>
              <w:pStyle w:val="Compact"/>
            </w:pPr>
            <w:r>
              <w:t xml:space="preserve">Maxterm</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m:oMath>
              <m:r>
                <m:t>A</m:t>
              </m:r>
              <m:r>
                <m:rPr>
                  <m:sty m:val="p"/>
                </m:rPr>
                <m:t>∨</m:t>
              </m:r>
              <m:r>
                <m:t>B</m:t>
              </m:r>
            </m:oMath>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w:t>
            </w:r>
          </w:p>
        </w:tc>
      </w:tr>
    </w:tbl>
    <w:bookmarkEnd w:id="65"/>
    <w:bookmarkStart w:id="66" w:name="lösung-6"/>
    <w:p>
      <w:pPr>
        <w:pStyle w:val="Heading4"/>
      </w:pPr>
      <w:r>
        <w:t xml:space="preserve">1.3.7.2 Lösung</w:t>
      </w:r>
    </w:p>
    <w:p>
      <w:pPr>
        <w:pStyle w:val="FirstParagraph"/>
      </w:pPr>
      <w:r>
        <w:rPr>
          <w:b/>
          <w:bCs/>
        </w:rPr>
        <w:t xml:space="preserve">Schritt 1: Maxterme identifizieren</w:t>
      </w:r>
      <w:r>
        <w:br/>
      </w:r>
      <w:r>
        <w:t xml:space="preserve">Ein</w:t>
      </w:r>
      <w:r>
        <w:t xml:space="preserve"> </w:t>
      </w:r>
      <w:r>
        <w:rPr>
          <w:b/>
          <w:bCs/>
        </w:rPr>
        <w:t xml:space="preserve">Maxterm</w:t>
      </w:r>
      <w:r>
        <w:t xml:space="preserve"> </w:t>
      </w:r>
      <w:r>
        <w:t xml:space="preserve">ist eine OR-Verknüpfung aller Variablen. Die Variable wird negiert, wenn sie 1 ist.</w:t>
      </w:r>
    </w:p>
    <w:p>
      <w:pPr>
        <w:pStyle w:val="BodyText"/>
      </w:pPr>
      <w:r>
        <w:t xml:space="preserve">Aus der Tabelle sehen wir den Maxterm für die Zeile mit Y = 0.</w:t>
      </w:r>
    </w:p>
    <w:p>
      <w:pPr>
        <w:pStyle w:val="BodyText"/>
      </w:pPr>
      <w:r>
        <w:rPr>
          <w:b/>
          <w:bCs/>
        </w:rPr>
        <w:t xml:space="preserve">Schritt 2: KNF aufstellen</w:t>
      </w:r>
      <w:r>
        <w:br/>
      </w:r>
      <w:r>
        <w:t xml:space="preserve">Die</w:t>
      </w:r>
      <w:r>
        <w:t xml:space="preserve"> </w:t>
      </w:r>
      <w:r>
        <w:rPr>
          <w:b/>
          <w:bCs/>
        </w:rPr>
        <w:t xml:space="preserve">Konjunktive Normalform (KNF)</w:t>
      </w:r>
      <w:r>
        <w:t xml:space="preserve"> </w:t>
      </w:r>
      <w:r>
        <w:t xml:space="preserve">ist die AND-Verknüpfung aller Maxterme:</w:t>
      </w:r>
    </w:p>
    <w:p>
      <w:pPr>
        <w:pStyle w:val="BodyText"/>
      </w:pPr>
      <m:oMathPara>
        <m:oMathParaPr>
          <m:jc m:val="center"/>
        </m:oMathParaPr>
        <m:oMath>
          <m:sSub>
            <m:e>
              <m:r>
                <m:t>Y</m:t>
              </m:r>
            </m:e>
            <m:sub>
              <m:r>
                <m:t>K</m:t>
              </m:r>
              <m:r>
                <m:t>N</m:t>
              </m:r>
              <m:r>
                <m:t>F</m:t>
              </m:r>
            </m:sub>
          </m:sSub>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66"/>
    <w:bookmarkStart w:id="67" w:name="vergleich-und-interpretation"/>
    <w:p>
      <w:pPr>
        <w:pStyle w:val="Heading4"/>
      </w:pPr>
      <w:r>
        <w:t xml:space="preserve">1.3.7.3 Vergleich und Interpretation</w:t>
      </w:r>
    </w:p>
    <w:p>
      <w:pPr>
        <w:pStyle w:val="FirstParagraph"/>
      </w:pPr>
      <w:r>
        <w:t xml:space="preserve">Beide Normalformen führen zum</w:t>
      </w:r>
      <w:r>
        <w:t xml:space="preserve"> </w:t>
      </w:r>
      <w:r>
        <w:rPr>
          <w:b/>
          <w:bCs/>
        </w:rPr>
        <w:t xml:space="preserve">gleichen Ergebnis</w:t>
      </w:r>
      <w:r>
        <w:t xml:space="preserve">:</w:t>
      </w:r>
    </w:p>
    <w:p>
      <w:pPr>
        <w:pStyle w:val="BodyText"/>
      </w:pPr>
      <m:oMathPara>
        <m:oMathParaPr>
          <m:jc m:val="center"/>
        </m:oMathParaPr>
        <m:oMath>
          <m:sSub>
            <m:e>
              <m:r>
                <m:t>Y</m:t>
              </m:r>
            </m:e>
            <m:sub>
              <m:r>
                <m:t>D</m:t>
              </m:r>
              <m:r>
                <m:t>N</m:t>
              </m:r>
              <m:r>
                <m:t>F</m:t>
              </m:r>
            </m:sub>
          </m:sSub>
          <m:r>
            <m:rPr>
              <m:sty m:val="p"/>
            </m:rPr>
            <m:t>=</m:t>
          </m:r>
          <m:r>
            <m:t>A</m:t>
          </m:r>
          <m:r>
            <m:rPr>
              <m:sty m:val="p"/>
            </m:rPr>
            <m:t>∨</m:t>
          </m:r>
          <m:r>
            <m:t>B</m:t>
          </m:r>
        </m:oMath>
      </m:oMathPara>
    </w:p>
    <w:p>
      <w:pPr>
        <w:pStyle w:val="FirstParagraph"/>
      </w:pPr>
      <m:oMathPara>
        <m:oMathParaPr>
          <m:jc m:val="center"/>
        </m:oMathParaPr>
        <m:oMath>
          <m:sSub>
            <m:e>
              <m:r>
                <m:t>Y</m:t>
              </m:r>
            </m:e>
            <m:sub>
              <m:r>
                <m:t>K</m:t>
              </m:r>
              <m:r>
                <m:t>N</m:t>
              </m:r>
              <m:r>
                <m:t>F</m:t>
              </m:r>
            </m:sub>
          </m:sSub>
          <m:r>
            <m:rPr>
              <m:sty m:val="p"/>
            </m:rPr>
            <m:t>=</m:t>
          </m:r>
          <m:r>
            <m:t>A</m:t>
          </m:r>
          <m:r>
            <m:rPr>
              <m:sty m:val="p"/>
            </m:rPr>
            <m:t>∨</m:t>
          </m:r>
          <m:r>
            <m:t>B</m:t>
          </m:r>
        </m:oMath>
      </m:oMathPara>
    </w:p>
    <w:p>
      <w:pPr>
        <w:pStyle w:val="FirstParagraph"/>
      </w:pPr>
      <w:r>
        <w:rPr>
          <w:b/>
          <w:bCs/>
        </w:rPr>
        <w:t xml:space="preserve">Wahrheitstabelle zur Verifikation:</w:t>
      </w:r>
    </w:p>
    <w:tbl>
      <w:tblPr>
        <w:tblStyle w:val="Table"/>
        <w:tblW w:type="pct" w:w="5000"/>
        <w:tblLayout w:type="fixed"/>
        <w:tblLook w:firstRow="1" w:lastRow="0" w:firstColumn="0" w:lastColumn="0" w:noHBand="0" w:noVBand="0" w:val="0020"/>
      </w:tblPr>
      <w:tblGrid>
        <w:gridCol w:w="235"/>
        <w:gridCol w:w="235"/>
        <w:gridCol w:w="1411"/>
        <w:gridCol w:w="1411"/>
        <w:gridCol w:w="1019"/>
        <w:gridCol w:w="1254"/>
        <w:gridCol w:w="940"/>
        <w:gridCol w:w="1019"/>
        <w:gridCol w:w="392"/>
      </w:tblGrid>
      <w:tr>
        <w:trPr>
          <w:tblHeader w:val="on"/>
        </w:trPr>
        <w:tc>
          <w:tcPr/>
          <w:p>
            <w:pPr>
              <w:pStyle w:val="Compact"/>
            </w:pPr>
            <w:r>
              <w:t xml:space="preserve">A</w:t>
            </w:r>
          </w:p>
        </w:tc>
        <w:tc>
          <w:tcPr/>
          <w:p>
            <w:pPr>
              <w:pStyle w:val="Compact"/>
            </w:pPr>
            <w:r>
              <w:t xml:space="preserve">B</w:t>
            </w:r>
          </w:p>
        </w:tc>
        <w:tc>
          <w:tcPr/>
          <w:p>
            <w:pPr>
              <w:pStyle w:val="Compact"/>
            </w:pPr>
            <m:oMath>
              <m:acc>
                <m:accPr>
                  <m:chr m:val="‾"/>
                </m:accPr>
                <m:e>
                  <m:r>
                    <m:t>A</m:t>
                  </m:r>
                </m:e>
              </m:acc>
              <m:r>
                <m:rPr>
                  <m:sty m:val="p"/>
                </m:rPr>
                <m:t>∧</m:t>
              </m:r>
              <m:r>
                <m:t>B</m:t>
              </m:r>
            </m:oMath>
          </w:p>
        </w:tc>
        <w:tc>
          <w:tcPr/>
          <w:p>
            <w:pPr>
              <w:pStyle w:val="Compact"/>
            </w:pPr>
            <m:oMath>
              <m:r>
                <m:t>A</m:t>
              </m:r>
              <m:r>
                <m:rPr>
                  <m:sty m:val="p"/>
                </m:rPr>
                <m:t>∧</m:t>
              </m:r>
              <m:acc>
                <m:accPr>
                  <m:chr m:val="‾"/>
                </m:accPr>
                <m:e>
                  <m:r>
                    <m:t>B</m:t>
                  </m:r>
                </m:e>
              </m:acc>
            </m:oMath>
          </w:p>
        </w:tc>
        <w:tc>
          <w:tcPr/>
          <w:p>
            <w:pPr>
              <w:pStyle w:val="Compact"/>
            </w:pPr>
            <m:oMath>
              <m:r>
                <m:t>A</m:t>
              </m:r>
              <m:r>
                <m:rPr>
                  <m:sty m:val="p"/>
                </m:rPr>
                <m:t>∧</m:t>
              </m:r>
              <m:r>
                <m:t>B</m:t>
              </m:r>
            </m:oMath>
          </w:p>
        </w:tc>
        <w:tc>
          <w:tcPr/>
          <w:p>
            <w:pPr>
              <w:pStyle w:val="Compact"/>
            </w:pPr>
            <w:r>
              <w:t xml:space="preserve">DNF (Original)</w:t>
            </w:r>
          </w:p>
        </w:tc>
        <w:tc>
          <w:tcPr/>
          <w:p>
            <w:pPr>
              <w:pStyle w:val="Compact"/>
            </w:pPr>
            <m:oMath>
              <m:r>
                <m:t>A</m:t>
              </m:r>
              <m:r>
                <m:rPr>
                  <m:sty m:val="p"/>
                </m:rPr>
                <m:t>∨</m:t>
              </m:r>
              <m:r>
                <m:t>B</m:t>
              </m:r>
            </m:oMath>
          </w:p>
        </w:tc>
        <w:tc>
          <w:tcPr/>
          <w:p>
            <w:pPr>
              <w:pStyle w:val="Compact"/>
            </w:pPr>
            <w:r>
              <w:t xml:space="preserve">Vereinfacht</w:t>
            </w:r>
          </w:p>
        </w:tc>
        <w:tc>
          <w:tcPr/>
          <w:p>
            <w:pPr>
              <w:pStyle w:val="Compact"/>
            </w:pPr>
            <w:r>
              <w:t xml:space="preserve">KNF</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rPr>
          <w:b/>
          <w:bCs/>
        </w:rPr>
        <w:t xml:space="preserve">Erkenntnisse:</w:t>
      </w:r>
    </w:p>
    <w:p>
      <w:pPr>
        <w:pStyle w:val="Compact"/>
        <w:numPr>
          <w:ilvl w:val="0"/>
          <w:numId w:val="1003"/>
        </w:numPr>
      </w:pPr>
      <w:r>
        <w:rPr>
          <w:b/>
          <w:bCs/>
        </w:rPr>
        <w:t xml:space="preserve">DNF</w:t>
      </w:r>
      <w:r>
        <w:t xml:space="preserve"> </w:t>
      </w:r>
      <w:r>
        <w:t xml:space="preserve">verwendet Minterme (Y=1 Zeilen) → Sum of Products</w:t>
      </w:r>
    </w:p>
    <w:p>
      <w:pPr>
        <w:pStyle w:val="Compact"/>
        <w:numPr>
          <w:ilvl w:val="0"/>
          <w:numId w:val="1003"/>
        </w:numPr>
      </w:pPr>
      <w:r>
        <w:rPr>
          <w:b/>
          <w:bCs/>
        </w:rPr>
        <w:t xml:space="preserve">KNF</w:t>
      </w:r>
      <w:r>
        <w:t xml:space="preserve"> </w:t>
      </w:r>
      <w:r>
        <w:t xml:space="preserve">verwendet Maxterme (Y=0 Zeilen) → Product of Sums</w:t>
      </w:r>
      <w:r>
        <w:br/>
      </w:r>
    </w:p>
    <w:p>
      <w:pPr>
        <w:pStyle w:val="Compact"/>
        <w:numPr>
          <w:ilvl w:val="0"/>
          <w:numId w:val="1003"/>
        </w:numPr>
      </w:pPr>
      <w:r>
        <w:t xml:space="preserve">Beide Normalformen beschreiben</w:t>
      </w:r>
      <w:r>
        <w:t xml:space="preserve"> </w:t>
      </w:r>
      <w:r>
        <w:rPr>
          <w:b/>
          <w:bCs/>
        </w:rPr>
        <w:t xml:space="preserve">dieselbe Funktion</w:t>
      </w:r>
    </w:p>
    <w:p>
      <w:pPr>
        <w:pStyle w:val="Compact"/>
        <w:numPr>
          <w:ilvl w:val="0"/>
          <w:numId w:val="1003"/>
        </w:numPr>
      </w:pPr>
      <w:r>
        <w:t xml:space="preserve">Die KNF war in diesem Fall bereits minimal, während die DNF vereinfacht werden musste</w:t>
      </w:r>
    </w:p>
    <w:p>
      <w:pPr>
        <w:pStyle w:val="Compact"/>
        <w:numPr>
          <w:ilvl w:val="0"/>
          <w:numId w:val="1003"/>
        </w:numPr>
      </w:pPr>
      <w:r>
        <w:t xml:space="preserve">Je nachdem, ob mehr 1en oder 0en in der Wahrheitstabelle sind, kann eine Form einfacher sein</w:t>
      </w:r>
    </w:p>
    <w:p>
      <w:pPr>
        <w:pStyle w:val="FirstParagraph"/>
      </w:pPr>
      <w:r>
        <w:rPr>
          <w:b/>
          <w:bCs/>
        </w:rPr>
        <w:t xml:space="preserve">Faustregel:</w:t>
      </w:r>
      <w:r>
        <w:t xml:space="preserve"> </w:t>
      </w:r>
      <w:r>
        <w:t xml:space="preserve">- Viele 1en in Wahrheitstabelle → KNF ist kürzer (weniger Maxterme)</w:t>
      </w:r>
      <w:r>
        <w:t xml:space="preserve"> </w:t>
      </w:r>
      <w:r>
        <w:t xml:space="preserve">- Viele 0en in Wahrheitstabelle → DNF ist kürzer (weniger Minterme)</w:t>
      </w:r>
    </w:p>
    <w:bookmarkEnd w:id="67"/>
    <w:bookmarkEnd w:id="68"/>
    <w:bookmarkEnd w:id="69"/>
    <w:bookmarkEnd w:id="70"/>
    <w:bookmarkStart w:id="169"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75"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74" w:name="fig-KSA1"/>
          <w:p>
            <w:pPr>
              <w:pStyle w:val="Compact"/>
              <w:jc w:val="center"/>
            </w:pPr>
            <w:r>
              <w:drawing>
                <wp:inline>
                  <wp:extent cx="3522846" cy="1925052"/>
                  <wp:effectExtent b="0" l="0" r="0" t="0"/>
                  <wp:docPr descr="" title="" id="72" name="Picture"/>
                  <a:graphic>
                    <a:graphicData uri="http://schemas.openxmlformats.org/drawingml/2006/picture">
                      <pic:pic>
                        <pic:nvPicPr>
                          <pic:cNvPr descr="GET/Grafiken/KSA_1.png" id="73" name="Picture"/>
                          <pic:cNvPicPr>
                            <a:picLocks noChangeArrowheads="1" noChangeAspect="1"/>
                          </pic:cNvPicPr>
                        </pic:nvPicPr>
                        <pic:blipFill>
                          <a:blip r:embed="rId7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7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75"/>
    <w:bookmarkStart w:id="92"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79" w:name="fig-KSA2"/>
          <w:p>
            <w:pPr>
              <w:pStyle w:val="Compact"/>
              <w:jc w:val="center"/>
            </w:pPr>
            <w:r>
              <w:drawing>
                <wp:inline>
                  <wp:extent cx="5334000" cy="3730583"/>
                  <wp:effectExtent b="0" l="0" r="0" t="0"/>
                  <wp:docPr descr="" title="" id="77" name="Picture"/>
                  <a:graphic>
                    <a:graphicData uri="http://schemas.openxmlformats.org/drawingml/2006/picture">
                      <pic:pic>
                        <pic:nvPicPr>
                          <pic:cNvPr descr="GET/Grafiken/KSA_2.png" id="78" name="Picture"/>
                          <pic:cNvPicPr>
                            <a:picLocks noChangeArrowheads="1" noChangeAspect="1"/>
                          </pic:cNvPicPr>
                        </pic:nvPicPr>
                        <pic:blipFill>
                          <a:blip r:embed="rId76"/>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79"/>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80"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80"/>
    </w:p>
    <w:p>
      <w:pPr>
        <w:pStyle w:val="FirstParagraph"/>
      </w:pPr>
      <w:bookmarkStart w:id="81"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81"/>
    </w:p>
    <w:p>
      <w:pPr>
        <w:pStyle w:val="FirstParagraph"/>
      </w:pPr>
      <w:r>
        <w:t xml:space="preserve">Knotengleichungen</w:t>
      </w:r>
    </w:p>
    <w:p>
      <w:pPr>
        <w:pStyle w:val="BodyText"/>
      </w:pPr>
      <w:bookmarkStart w:id="82"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82"/>
    </w:p>
    <w:p>
      <w:pPr>
        <w:pStyle w:val="FirstParagraph"/>
      </w:pPr>
      <w:r>
        <w:rPr>
          <w:b/>
          <w:bCs/>
        </w:rPr>
        <w:t xml:space="preserve">5. Ohmsche Gesetze für die Widerstände anschreiben</w:t>
      </w:r>
    </w:p>
    <w:p>
      <w:pPr>
        <w:pStyle w:val="BodyText"/>
      </w:pPr>
      <w:r>
        <w:t xml:space="preserve">Ohmsches Gesetz</w:t>
      </w:r>
    </w:p>
    <w:p>
      <w:pPr>
        <w:pStyle w:val="BodyText"/>
      </w:pPr>
      <w:bookmarkStart w:id="83"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83"/>
    </w:p>
    <w:p>
      <w:pPr>
        <w:pStyle w:val="FirstParagraph"/>
      </w:pPr>
      <w:bookmarkStart w:id="84"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84"/>
    </w:p>
    <w:p>
      <w:pPr>
        <w:pStyle w:val="FirstParagraph"/>
      </w:pPr>
      <w:bookmarkStart w:id="85"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85"/>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86"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86"/>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87"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87"/>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8"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88"/>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9"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89"/>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90"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90"/>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91"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91"/>
    </w:p>
    <w:p>
      <w:pPr>
        <w:pStyle w:val="FirstParagraph"/>
      </w:pPr>
      <m:oMathPara>
        <m:oMathParaPr>
          <m:jc m:val="center"/>
        </m:oMathParaPr>
        <m:oMath>
          <m:r>
            <m:t>I</m:t>
          </m:r>
          <m:r>
            <m:rPr>
              <m:sty m:val="p"/>
            </m:rPr>
            <m:t>=</m:t>
          </m:r>
          <m:r>
            <m:rPr>
              <m:nor/>
              <m:sty m:val="p"/>
            </m:rPr>
            <m:t>15</m:t>
          </m:r>
          <m:r>
            <m:t> </m:t>
          </m:r>
          <m:r>
            <m:rPr>
              <m:nor/>
              <m:sty m:val="p"/>
            </m:rPr>
            <m:t>mA</m:t>
          </m:r>
        </m:oMath>
      </m:oMathPara>
    </w:p>
    <w:bookmarkEnd w:id="92"/>
    <w:bookmarkStart w:id="117"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96" w:name="fig-KSA3"/>
          <w:p>
            <w:pPr>
              <w:pStyle w:val="Compact"/>
              <w:jc w:val="center"/>
            </w:pPr>
            <w:r>
              <w:drawing>
                <wp:inline>
                  <wp:extent cx="4399351" cy="3018159"/>
                  <wp:effectExtent b="0" l="0" r="0" t="0"/>
                  <wp:docPr descr="" title="" id="94" name="Picture"/>
                  <a:graphic>
                    <a:graphicData uri="http://schemas.openxmlformats.org/drawingml/2006/picture">
                      <pic:pic>
                        <pic:nvPicPr>
                          <pic:cNvPr descr="GET/Grafiken/KSA_3.png" id="95" name="Picture"/>
                          <pic:cNvPicPr>
                            <a:picLocks noChangeArrowheads="1" noChangeAspect="1"/>
                          </pic:cNvPicPr>
                        </pic:nvPicPr>
                        <pic:blipFill>
                          <a:blip r:embed="rId93"/>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96"/>
        </w:tc>
      </w:tr>
    </w:tbl>
    <w:bookmarkStart w:id="97" w:name="alle-ströme-und-spannungen-einzeichnen"/>
    <w:p>
      <w:pPr>
        <w:pStyle w:val="Heading3"/>
      </w:pPr>
      <w:r>
        <w:t xml:space="preserve">2.3.1 Alle Ströme und Spannungen einzeichnen</w:t>
      </w:r>
    </w:p>
    <w:bookmarkEnd w:id="97"/>
    <w:bookmarkStart w:id="98"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98"/>
    <w:bookmarkStart w:id="99"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99"/>
    <w:bookmarkStart w:id="100"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100"/>
    <w:bookmarkStart w:id="104"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101"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101"/>
    </w:p>
    <w:p>
      <w:pPr>
        <w:pStyle w:val="FirstParagraph"/>
      </w:pPr>
      <w:bookmarkStart w:id="10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102"/>
    </w:p>
    <w:p>
      <w:pPr>
        <w:pStyle w:val="FirstParagraph"/>
      </w:pPr>
      <w:r>
        <w:t xml:space="preserve">Knotengleichungen</w:t>
      </w:r>
    </w:p>
    <w:p>
      <w:pPr>
        <w:pStyle w:val="BodyText"/>
      </w:pPr>
      <w:bookmarkStart w:id="10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103"/>
    </w:p>
    <w:bookmarkEnd w:id="104"/>
    <w:bookmarkStart w:id="108"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105"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105"/>
    </w:p>
    <w:p>
      <w:pPr>
        <w:pStyle w:val="FirstParagraph"/>
      </w:pPr>
      <w:bookmarkStart w:id="106"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106"/>
    </w:p>
    <w:p>
      <w:pPr>
        <w:pStyle w:val="FirstParagraph"/>
      </w:pPr>
      <w:bookmarkStart w:id="107"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107"/>
    </w:p>
    <w:bookmarkEnd w:id="108"/>
    <w:bookmarkStart w:id="109"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109"/>
    <w:bookmarkStart w:id="116"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110"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110"/>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11"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111"/>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112"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112"/>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113"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113"/>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14"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114"/>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115"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115"/>
    </w:p>
    <w:p>
      <w:pPr>
        <w:pStyle w:val="FirstParagraph"/>
      </w:pPr>
      <m:oMathPara>
        <m:oMathParaPr>
          <m:jc m:val="center"/>
        </m:oMathParaPr>
        <m:oMath>
          <m:r>
            <m:t>I</m:t>
          </m:r>
          <m:r>
            <m:rPr>
              <m:sty m:val="p"/>
            </m:rPr>
            <m:t>=</m:t>
          </m:r>
          <m:r>
            <m:rPr>
              <m:nor/>
              <m:sty m:val="p"/>
            </m:rPr>
            <m:t>14</m:t>
          </m:r>
          <m:r>
            <m:t> </m:t>
          </m:r>
          <m:r>
            <m:rPr>
              <m:nor/>
              <m:sty m:val="p"/>
            </m:rPr>
            <m:t>mA</m:t>
          </m:r>
        </m:oMath>
      </m:oMathPara>
    </w:p>
    <w:bookmarkEnd w:id="116"/>
    <w:bookmarkEnd w:id="117"/>
    <w:bookmarkStart w:id="140"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21" w:name="fig-KSA4"/>
          <w:p>
            <w:pPr>
              <w:pStyle w:val="Compact"/>
              <w:jc w:val="center"/>
            </w:pPr>
            <w:r>
              <w:drawing>
                <wp:inline>
                  <wp:extent cx="5334000" cy="3140363"/>
                  <wp:effectExtent b="0" l="0" r="0" t="0"/>
                  <wp:docPr descr="" title="" id="119" name="Picture"/>
                  <a:graphic>
                    <a:graphicData uri="http://schemas.openxmlformats.org/drawingml/2006/picture">
                      <pic:pic>
                        <pic:nvPicPr>
                          <pic:cNvPr descr="GET/Grafiken/KSA_4.png" id="120" name="Picture"/>
                          <pic:cNvPicPr>
                            <a:picLocks noChangeArrowheads="1" noChangeAspect="1"/>
                          </pic:cNvPicPr>
                        </pic:nvPicPr>
                        <pic:blipFill>
                          <a:blip r:embed="rId118"/>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121"/>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22"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122"/>
    </w:p>
    <w:p>
      <w:pPr>
        <w:pStyle w:val="FirstParagraph"/>
      </w:pPr>
      <w:bookmarkStart w:id="123"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123"/>
    </w:p>
    <w:p>
      <w:pPr>
        <w:pStyle w:val="FirstParagraph"/>
      </w:pPr>
      <w:bookmarkStart w:id="124"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124"/>
    </w:p>
    <w:p>
      <w:pPr>
        <w:pStyle w:val="FirstParagraph"/>
      </w:pPr>
      <w:r>
        <w:t xml:space="preserve">Knotengleichungen</w:t>
      </w:r>
    </w:p>
    <w:p>
      <w:pPr>
        <w:pStyle w:val="BodyText"/>
      </w:pPr>
      <w:bookmarkStart w:id="12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125"/>
    </w:p>
    <w:p>
      <w:pPr>
        <w:pStyle w:val="FirstParagraph"/>
      </w:pPr>
      <w:bookmarkStart w:id="126"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126"/>
    </w:p>
    <w:p>
      <w:pPr>
        <w:pStyle w:val="FirstParagraph"/>
      </w:pPr>
      <w:bookmarkStart w:id="127"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127"/>
    </w:p>
    <w:p>
      <w:pPr>
        <w:pStyle w:val="FirstParagraph"/>
      </w:pPr>
      <w:r>
        <w:rPr>
          <w:b/>
          <w:bCs/>
        </w:rPr>
        <w:t xml:space="preserve">5. Ohmsche Gesetze für die Widerstände anschreiben</w:t>
      </w:r>
    </w:p>
    <w:p>
      <w:pPr>
        <w:pStyle w:val="BodyText"/>
      </w:pPr>
      <w:r>
        <w:t xml:space="preserve">Ohmsches Gesetz</w:t>
      </w:r>
    </w:p>
    <w:p>
      <w:pPr>
        <w:pStyle w:val="BodyText"/>
      </w:pPr>
      <w:bookmarkStart w:id="12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128"/>
    </w:p>
    <w:p>
      <w:pPr>
        <w:pStyle w:val="FirstParagraph"/>
      </w:pPr>
      <w:bookmarkStart w:id="12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129"/>
    </w:p>
    <w:p>
      <w:pPr>
        <w:pStyle w:val="FirstParagraph"/>
      </w:pPr>
      <w:bookmarkStart w:id="130"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30"/>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31"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31"/>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32"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32"/>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33"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33"/>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34"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34"/>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35"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35"/>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36"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36"/>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37"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37"/>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38"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38"/>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39"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39"/>
    </w:p>
    <w:p>
      <w:pPr>
        <w:pStyle w:val="FirstParagraph"/>
      </w:pPr>
      <m:oMathPara>
        <m:oMathParaPr>
          <m:jc m:val="center"/>
        </m:oMathParaPr>
        <m:oMath>
          <m:r>
            <m:t>I</m:t>
          </m:r>
          <m:r>
            <m:rPr>
              <m:sty m:val="p"/>
            </m:rPr>
            <m:t>=</m:t>
          </m:r>
          <m:r>
            <m:rPr>
              <m:nor/>
              <m:sty m:val="p"/>
            </m:rPr>
            <m:t>18</m:t>
          </m:r>
          <m:r>
            <m:t> </m:t>
          </m:r>
          <m:r>
            <m:rPr>
              <m:nor/>
              <m:sty m:val="p"/>
            </m:rPr>
            <m:t>mA</m:t>
          </m:r>
        </m:oMath>
      </m:oMathPara>
    </w:p>
    <w:bookmarkEnd w:id="140"/>
    <w:bookmarkStart w:id="168"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44" w:name="fig-KSA5"/>
          <w:p>
            <w:pPr>
              <w:pStyle w:val="Compact"/>
              <w:jc w:val="center"/>
            </w:pPr>
            <w:r>
              <w:drawing>
                <wp:inline>
                  <wp:extent cx="4188335" cy="3708755"/>
                  <wp:effectExtent b="0" l="0" r="0" t="0"/>
                  <wp:docPr descr="" title="" id="142" name="Picture"/>
                  <a:graphic>
                    <a:graphicData uri="http://schemas.openxmlformats.org/drawingml/2006/picture">
                      <pic:pic>
                        <pic:nvPicPr>
                          <pic:cNvPr descr="GET/Grafiken/KSA_5.png" id="143" name="Picture"/>
                          <pic:cNvPicPr>
                            <a:picLocks noChangeArrowheads="1" noChangeAspect="1"/>
                          </pic:cNvPicPr>
                        </pic:nvPicPr>
                        <pic:blipFill>
                          <a:blip r:embed="rId141"/>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4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45"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45"/>
    </w:p>
    <w:p>
      <w:pPr>
        <w:pStyle w:val="FirstParagraph"/>
      </w:pPr>
      <w:bookmarkStart w:id="146"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46"/>
    </w:p>
    <w:p>
      <w:pPr>
        <w:pStyle w:val="FirstParagraph"/>
      </w:pPr>
      <w:bookmarkStart w:id="147"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47"/>
    </w:p>
    <w:p>
      <w:pPr>
        <w:pStyle w:val="FirstParagraph"/>
      </w:pPr>
      <w:r>
        <w:t xml:space="preserve">Knotengleichungen</w:t>
      </w:r>
    </w:p>
    <w:p>
      <w:pPr>
        <w:pStyle w:val="BodyText"/>
      </w:pPr>
      <w:bookmarkStart w:id="148"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48"/>
    </w:p>
    <w:p>
      <w:pPr>
        <w:pStyle w:val="FirstParagraph"/>
      </w:pPr>
      <w:bookmarkStart w:id="149"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49"/>
    </w:p>
    <w:p>
      <w:pPr>
        <w:pStyle w:val="FirstParagraph"/>
      </w:pPr>
      <w:bookmarkStart w:id="150"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50"/>
    </w:p>
    <w:p>
      <w:pPr>
        <w:pStyle w:val="FirstParagraph"/>
      </w:pPr>
      <w:bookmarkStart w:id="151"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51"/>
    </w:p>
    <w:p>
      <w:pPr>
        <w:pStyle w:val="FirstParagraph"/>
      </w:pPr>
      <w:r>
        <w:rPr>
          <w:b/>
          <w:bCs/>
        </w:rPr>
        <w:t xml:space="preserve">5. Ohmsche Gesetze für die Widerstände anschreiben</w:t>
      </w:r>
    </w:p>
    <w:p>
      <w:pPr>
        <w:pStyle w:val="BodyText"/>
      </w:pPr>
      <w:r>
        <w:t xml:space="preserve">Ohmsches Gesetz</w:t>
      </w:r>
    </w:p>
    <w:p>
      <w:pPr>
        <w:pStyle w:val="BodyText"/>
      </w:pPr>
      <w:bookmarkStart w:id="152"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52"/>
    </w:p>
    <w:p>
      <w:pPr>
        <w:pStyle w:val="FirstParagraph"/>
      </w:pPr>
      <w:bookmarkStart w:id="153"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53"/>
    </w:p>
    <w:p>
      <w:pPr>
        <w:pStyle w:val="FirstParagraph"/>
      </w:pPr>
      <w:bookmarkStart w:id="154"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54"/>
    </w:p>
    <w:p>
      <w:pPr>
        <w:pStyle w:val="FirstParagraph"/>
      </w:pPr>
      <w:bookmarkStart w:id="155"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55"/>
    </w:p>
    <w:p>
      <w:pPr>
        <w:pStyle w:val="FirstParagraph"/>
      </w:pPr>
      <w:bookmarkStart w:id="156"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56"/>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
          <w:bCs/>
        </w:rPr>
        <w:t xml:space="preserve">7. Gleichungssystem lösen</w:t>
      </w:r>
    </w:p>
    <w:p>
      <w:pPr>
        <w:pStyle w:val="BodyText"/>
      </w:pPr>
      <w:bookmarkStart w:id="157"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57"/>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58"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58"/>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59"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59"/>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60"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60"/>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61"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61"/>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62"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62"/>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63"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63"/>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64"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64"/>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65"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65"/>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66"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66"/>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67"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67"/>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68"/>
    <w:bookmarkEnd w:id="169"/>
    <w:bookmarkStart w:id="174"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73"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71" name="Picture"/>
            <a:graphic>
              <a:graphicData uri="http://schemas.openxmlformats.org/drawingml/2006/picture">
                <pic:pic>
                  <pic:nvPicPr>
                    <pic:cNvPr descr="Logik\SequentielleLogik/02.01_SequentielleLogik_files\figure-docx\dot-figure-1.png" id="172" name="Picture"/>
                    <pic:cNvPicPr>
                      <a:picLocks noChangeArrowheads="1" noChangeAspect="1"/>
                    </pic:cNvPicPr>
                  </pic:nvPicPr>
                  <pic:blipFill>
                    <a:blip r:embed="rId170"/>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73"/>
    <w:bookmarkEnd w:id="174"/>
    <w:bookmarkStart w:id="209" w:name="komplexe-wechselstromtechnik"/>
    <w:p>
      <w:pPr>
        <w:pStyle w:val="Heading1"/>
      </w:pPr>
      <w:r>
        <w:t xml:space="preserve">4. Komplexe Wechselstromtechnik</w:t>
      </w:r>
    </w:p>
    <w:bookmarkStart w:id="175" w:name="tiefpass-2ter-ordnung"/>
    <w:p>
      <w:pPr>
        <w:pStyle w:val="Heading2"/>
      </w:pPr>
      <w:r>
        <w:t xml:space="preserve">4.1 Tiefpass 2ter Ordnung</w:t>
      </w:r>
    </w:p>
    <w:bookmarkEnd w:id="175"/>
    <w:bookmarkStart w:id="208"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79" w:name="fig-HP2o"/>
          <w:p>
            <w:pPr>
              <w:pStyle w:val="Compact"/>
              <w:jc w:val="center"/>
            </w:pPr>
            <w:r>
              <w:drawing>
                <wp:inline>
                  <wp:extent cx="5334000" cy="2185088"/>
                  <wp:effectExtent b="0" l="0" r="0" t="0"/>
                  <wp:docPr descr="" title="" id="177" name="Picture"/>
                  <a:graphic>
                    <a:graphicData uri="http://schemas.openxmlformats.org/drawingml/2006/picture">
                      <pic:pic>
                        <pic:nvPicPr>
                          <pic:cNvPr descr="GET\AC/HP_2_Ordnung.png" id="178" name="Picture"/>
                          <pic:cNvPicPr>
                            <a:picLocks noChangeArrowheads="1" noChangeAspect="1"/>
                          </pic:cNvPicPr>
                        </pic:nvPicPr>
                        <pic:blipFill>
                          <a:blip r:embed="rId176"/>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79"/>
        </w:tc>
      </w:tr>
    </w:tbl>
    <w:p>
      <w:pPr>
        <w:pStyle w:val="BodyText"/>
      </w:pPr>
      <w:r>
        <w:t xml:space="preserve">Das hier gezeigte Beispiel soll demonstrieren welche Untersuchungen, Berechnungen und Simulation bei einem Hochpass 2ter Ordnung durchgeführt werden können.</w:t>
      </w:r>
    </w:p>
    <w:bookmarkStart w:id="184"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80"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80"/>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81"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81"/>
    </w:p>
    <w:p>
      <w:pPr>
        <w:pStyle w:val="FirstParagraph"/>
      </w:pPr>
      <w:bookmarkStart w:id="182"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82"/>
    </w:p>
    <w:p>
      <w:pPr>
        <w:pStyle w:val="FirstParagraph"/>
      </w:pPr>
      <w:bookmarkStart w:id="183"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83"/>
    </w:p>
    <w:bookmarkEnd w:id="184"/>
    <w:bookmarkStart w:id="189"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85"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185"/>
    </w:p>
    <w:p>
      <w:pPr>
        <w:pStyle w:val="FirstParagraph"/>
      </w:pPr>
      <w:bookmarkStart w:id="186"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186"/>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88"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87"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187"/>
    </w:p>
    <w:bookmarkEnd w:id="188"/>
    <w:bookmarkEnd w:id="189"/>
    <w:bookmarkStart w:id="191"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90"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190"/>
    </w:p>
    <w:p>
      <w:pPr>
        <w:pStyle w:val="FirstParagraph"/>
      </w:pPr>
      <w:r>
        <w:t xml:space="preserve">Wird die Gleichung umgestellt, so erhält man die Grenzfrequenz.</w:t>
      </w:r>
    </w:p>
    <w:bookmarkEnd w:id="191"/>
    <w:bookmarkStart w:id="207"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95"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93" name="Picture"/>
            <a:graphic>
              <a:graphicData uri="http://schemas.openxmlformats.org/drawingml/2006/picture">
                <pic:pic>
                  <pic:nvPicPr>
                    <pic:cNvPr descr="GET\AC/Wechselstrom_files/figure-docx/cell-11-output-6.png" id="194" name="Picture"/>
                    <pic:cNvPicPr>
                      <a:picLocks noChangeArrowheads="1" noChangeAspect="1"/>
                    </pic:cNvPicPr>
                  </pic:nvPicPr>
                  <pic:blipFill>
                    <a:blip r:embed="rId192"/>
                    <a:stretch>
                      <a:fillRect/>
                    </a:stretch>
                  </pic:blipFill>
                  <pic:spPr bwMode="auto">
                    <a:xfrm>
                      <a:off x="0" y="0"/>
                      <a:ext cx="5334000" cy="3982907"/>
                    </a:xfrm>
                    <a:prstGeom prst="rect">
                      <a:avLst/>
                    </a:prstGeom>
                    <a:noFill/>
                    <a:ln w="9525">
                      <a:noFill/>
                      <a:headEnd/>
                      <a:tailEnd/>
                    </a:ln>
                  </pic:spPr>
                </pic:pic>
              </a:graphicData>
            </a:graphic>
          </wp:inline>
        </w:drawing>
      </w:r>
    </w:p>
    <w:bookmarkEnd w:id="195"/>
    <w:bookmarkStart w:id="199"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97" name="Picture"/>
            <a:graphic>
              <a:graphicData uri="http://schemas.openxmlformats.org/drawingml/2006/picture">
                <pic:pic>
                  <pic:nvPicPr>
                    <pic:cNvPr descr="GET\AC/Wechselstrom_files/figure-docx/cell-12-output-6.png" id="198" name="Picture"/>
                    <pic:cNvPicPr>
                      <a:picLocks noChangeArrowheads="1" noChangeAspect="1"/>
                    </pic:cNvPicPr>
                  </pic:nvPicPr>
                  <pic:blipFill>
                    <a:blip r:embed="rId196"/>
                    <a:stretch>
                      <a:fillRect/>
                    </a:stretch>
                  </pic:blipFill>
                  <pic:spPr bwMode="auto">
                    <a:xfrm>
                      <a:off x="0" y="0"/>
                      <a:ext cx="5334000" cy="3975870"/>
                    </a:xfrm>
                    <a:prstGeom prst="rect">
                      <a:avLst/>
                    </a:prstGeom>
                    <a:noFill/>
                    <a:ln w="9525">
                      <a:noFill/>
                      <a:headEnd/>
                      <a:tailEnd/>
                    </a:ln>
                  </pic:spPr>
                </pic:pic>
              </a:graphicData>
            </a:graphic>
          </wp:inline>
        </w:drawing>
      </w:r>
    </w:p>
    <w:bookmarkEnd w:id="199"/>
    <w:bookmarkStart w:id="206"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200"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200"/>
    </w:p>
    <w:p>
      <w:pPr>
        <w:pStyle w:val="FirstParagraph"/>
      </w:pPr>
      <w:bookmarkStart w:id="201"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201"/>
    </w:p>
    <w:p>
      <w:pPr>
        <w:pStyle w:val="FirstParagraph"/>
      </w:pPr>
      <w:bookmarkStart w:id="202"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202"/>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204" name="Picture"/>
            <a:graphic>
              <a:graphicData uri="http://schemas.openxmlformats.org/drawingml/2006/picture">
                <pic:pic>
                  <pic:nvPicPr>
                    <pic:cNvPr descr="GET\AC/Wechselstrom_files/figure-docx/cell-13-output-9.png" id="205" name="Picture"/>
                    <pic:cNvPicPr>
                      <a:picLocks noChangeArrowheads="1" noChangeAspect="1"/>
                    </pic:cNvPicPr>
                  </pic:nvPicPr>
                  <pic:blipFill>
                    <a:blip r:embed="rId203"/>
                    <a:stretch>
                      <a:fillRect/>
                    </a:stretch>
                  </pic:blipFill>
                  <pic:spPr bwMode="auto">
                    <a:xfrm>
                      <a:off x="0" y="0"/>
                      <a:ext cx="5334000" cy="3982907"/>
                    </a:xfrm>
                    <a:prstGeom prst="rect">
                      <a:avLst/>
                    </a:prstGeom>
                    <a:noFill/>
                    <a:ln w="9525">
                      <a:noFill/>
                      <a:headEnd/>
                      <a:tailEnd/>
                    </a:ln>
                  </pic:spPr>
                </pic:pic>
              </a:graphicData>
            </a:graphic>
          </wp:inline>
        </w:drawing>
      </w:r>
    </w:p>
    <w:bookmarkEnd w:id="206"/>
    <w:bookmarkEnd w:id="207"/>
    <w:bookmarkEnd w:id="208"/>
    <w:bookmarkEnd w:id="209"/>
    <w:bookmarkStart w:id="236" w:name="der-transistor"/>
    <w:p>
      <w:pPr>
        <w:pStyle w:val="Heading1"/>
      </w:pPr>
      <w:r>
        <w:t xml:space="preserve">5. Der Transistor</w:t>
      </w:r>
    </w:p>
    <w:bookmarkStart w:id="217"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213" w:name="fig-n-Channel_switch"/>
          <w:p>
            <w:pPr>
              <w:pStyle w:val="Compact"/>
              <w:jc w:val="center"/>
            </w:pPr>
            <w:r>
              <w:drawing>
                <wp:inline>
                  <wp:extent cx="3724275" cy="3495675"/>
                  <wp:effectExtent b="0" l="0" r="0" t="0"/>
                  <wp:docPr descr="" title="" id="211" name="Picture"/>
                  <a:graphic>
                    <a:graphicData uri="http://schemas.openxmlformats.org/drawingml/2006/picture">
                      <pic:pic>
                        <pic:nvPicPr>
                          <pic:cNvPr descr="Transistoren/Grafiken/NChannelenhancementSwitch.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213"/>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216" w:name="aufgabe-7"/>
    <w:p>
      <w:pPr>
        <w:pStyle w:val="Heading3"/>
      </w:pPr>
      <w:r>
        <w:t xml:space="preserve">5.1.1 Aufgabe</w:t>
      </w:r>
    </w:p>
    <w:bookmarkStart w:id="214"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214"/>
    <w:bookmarkStart w:id="215"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215"/>
    <w:bookmarkEnd w:id="216"/>
    <w:bookmarkEnd w:id="217"/>
    <w:bookmarkStart w:id="235" w:name="sec-BJT"/>
    <w:p>
      <w:pPr>
        <w:pStyle w:val="Heading2"/>
      </w:pPr>
      <w:r>
        <w:t xml:space="preserve">5.2 Bipolartransistor</w:t>
      </w:r>
    </w:p>
    <w:bookmarkStart w:id="222"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221" w:name="fig-BJT_Emitter_mit_Re"/>
          <w:p>
            <w:pPr>
              <w:pStyle w:val="Compact"/>
              <w:jc w:val="center"/>
            </w:pPr>
            <w:r>
              <w:drawing>
                <wp:inline>
                  <wp:extent cx="5334000" cy="3876360"/>
                  <wp:effectExtent b="0" l="0" r="0" t="0"/>
                  <wp:docPr descr="" title="" id="219" name="Picture"/>
                  <a:graphic>
                    <a:graphicData uri="http://schemas.openxmlformats.org/drawingml/2006/picture">
                      <pic:pic>
                        <pic:nvPicPr>
                          <pic:cNvPr descr="Transistoren/Grafiken/BJTEmitterschaltung_mitRE.svg" id="2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221"/>
        </w:tc>
      </w:tr>
    </w:tbl>
    <w:bookmarkEnd w:id="222"/>
    <w:bookmarkStart w:id="229"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223"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223"/>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228" w:name="gegeben"/>
    <w:p>
      <w:pPr>
        <w:pStyle w:val="Heading4"/>
      </w:pPr>
      <w:r>
        <w:t xml:space="preserve">5.2.2.1 Gegeben</w:t>
      </w:r>
    </w:p>
    <w:bookmarkStart w:id="224"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224"/>
    <w:bookmarkStart w:id="225"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225"/>
    <w:bookmarkStart w:id="227" w:name="aus-der-erfahrung-faustregel"/>
    <w:p>
      <w:pPr>
        <w:pStyle w:val="Heading5"/>
      </w:pPr>
      <w:r>
        <w:t xml:space="preserve">5.2.2.1.3 Aus der Erfahrung / Faustregel</w:t>
      </w:r>
    </w:p>
    <w:p>
      <w:pPr>
        <w:pStyle w:val="Compact"/>
        <w:numPr>
          <w:ilvl w:val="0"/>
          <w:numId w:val="1004"/>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05"/>
        </w:numPr>
      </w:pPr>
      <w:r>
        <w:t xml:space="preserve">Gleichungen</w:t>
      </w:r>
    </w:p>
    <w:p>
      <w:pPr>
        <w:pStyle w:val="FirstParagraph"/>
      </w:pPr>
      <w:bookmarkStart w:id="226"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226"/>
    </w:p>
    <w:bookmarkEnd w:id="227"/>
    <w:bookmarkEnd w:id="228"/>
    <w:bookmarkEnd w:id="229"/>
    <w:bookmarkStart w:id="233" w:name="berechnung"/>
    <w:p>
      <w:pPr>
        <w:pStyle w:val="Heading3"/>
      </w:pPr>
      <w:r>
        <w:t xml:space="preserve">5.2.3 Berechnung</w:t>
      </w:r>
    </w:p>
    <w:p>
      <w:pPr>
        <w:pStyle w:val="Compact"/>
        <w:numPr>
          <w:ilvl w:val="0"/>
          <w:numId w:val="1006"/>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30"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30"/>
    </w:p>
    <w:p>
      <w:pPr>
        <w:pStyle w:val="FirstParagraph"/>
      </w:pPr>
      <w:bookmarkStart w:id="231"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31"/>
    </w:p>
    <w:p>
      <w:pPr>
        <w:pStyle w:val="FirstParagraph"/>
      </w:pPr>
      <w:bookmarkStart w:id="232"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32"/>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33"/>
    <w:bookmarkStart w:id="234"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34"/>
    <w:bookmarkEnd w:id="235"/>
    <w:bookmarkEnd w:id="236"/>
    <w:bookmarkStart w:id="362" w:name="leistungsverstärker"/>
    <w:p>
      <w:pPr>
        <w:pStyle w:val="Heading1"/>
      </w:pPr>
      <w:r>
        <w:t xml:space="preserve">6. Leistungsverstärker</w:t>
      </w:r>
    </w:p>
    <w:p>
      <w:pPr>
        <w:pStyle w:val="FirstParagraph"/>
      </w:pPr>
      <w:r>
        <w:rPr>
          <w:b/>
          <w:bCs/>
        </w:rPr>
        <w:t xml:space="preserve">Lernziele</w:t>
      </w:r>
    </w:p>
    <w:p>
      <w:pPr>
        <w:pStyle w:val="Compact"/>
        <w:numPr>
          <w:ilvl w:val="0"/>
          <w:numId w:val="1007"/>
        </w:numPr>
      </w:pPr>
      <w:r>
        <w:t xml:space="preserve">Auslegung von analogen Schaltungen</w:t>
      </w:r>
      <w:r>
        <w:br/>
      </w:r>
    </w:p>
    <w:p>
      <w:pPr>
        <w:pStyle w:val="Compact"/>
        <w:numPr>
          <w:ilvl w:val="0"/>
          <w:numId w:val="1007"/>
        </w:numPr>
      </w:pPr>
      <w:r>
        <w:t xml:space="preserve">Strukturiertes aufbereiten einer Aufgabenstellung</w:t>
      </w:r>
      <w:r>
        <w:br/>
      </w:r>
    </w:p>
    <w:p>
      <w:pPr>
        <w:pStyle w:val="Compact"/>
        <w:numPr>
          <w:ilvl w:val="0"/>
          <w:numId w:val="1007"/>
        </w:numPr>
      </w:pPr>
      <w:r>
        <w:t xml:space="preserve">Plausibilität und Qualitätsbeurteilung mittels Simulation</w:t>
      </w:r>
      <w:r>
        <w:br/>
      </w:r>
    </w:p>
    <w:p>
      <w:pPr>
        <w:pStyle w:val="Compact"/>
        <w:numPr>
          <w:ilvl w:val="0"/>
          <w:numId w:val="1007"/>
        </w:numPr>
      </w:pPr>
      <w:r>
        <w:t xml:space="preserve">Übersichtliches zeichnen komplexer Schaltpläne</w:t>
      </w:r>
      <w:r>
        <w:br/>
      </w:r>
    </w:p>
    <w:p>
      <w:pPr>
        <w:pStyle w:val="Compact"/>
        <w:numPr>
          <w:ilvl w:val="0"/>
          <w:numId w:val="1007"/>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40" w:name="fig-BJT-AP_Ruhestrom"/>
          <w:p>
            <w:pPr>
              <w:pStyle w:val="Compact"/>
              <w:jc w:val="center"/>
            </w:pPr>
            <w:r>
              <w:drawing>
                <wp:inline>
                  <wp:extent cx="5334000" cy="4960478"/>
                  <wp:effectExtent b="0" l="0" r="0" t="0"/>
                  <wp:docPr descr="" title="" id="238" name="Picture"/>
                  <a:graphic>
                    <a:graphicData uri="http://schemas.openxmlformats.org/drawingml/2006/picture">
                      <pic:pic>
                        <pic:nvPicPr>
                          <pic:cNvPr descr="Projekte/Grafiken/BJT_Kennlinie_AP_Ruhestrom.png" id="239" name="Picture"/>
                          <pic:cNvPicPr>
                            <a:picLocks noChangeArrowheads="1" noChangeAspect="1"/>
                          </pic:cNvPicPr>
                        </pic:nvPicPr>
                        <pic:blipFill>
                          <a:blip r:embed="rId237"/>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40"/>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49"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44" w:name="fig-BJT_Gegen"/>
          <w:p>
            <w:pPr>
              <w:pStyle w:val="Compact"/>
              <w:jc w:val="center"/>
            </w:pPr>
            <w:r>
              <w:drawing>
                <wp:inline>
                  <wp:extent cx="5334000" cy="4870760"/>
                  <wp:effectExtent b="0" l="0" r="0" t="0"/>
                  <wp:docPr descr="" title="" id="242" name="Picture"/>
                  <a:graphic>
                    <a:graphicData uri="http://schemas.openxmlformats.org/drawingml/2006/picture">
                      <pic:pic>
                        <pic:nvPicPr>
                          <pic:cNvPr descr="Projekte/Grafiken/01_LV_Gegentaktendstufe.png" id="243" name="Picture"/>
                          <pic:cNvPicPr>
                            <a:picLocks noChangeArrowheads="1" noChangeAspect="1"/>
                          </pic:cNvPicPr>
                        </pic:nvPicPr>
                        <pic:blipFill>
                          <a:blip r:embed="rId241"/>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44"/>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48" w:name="fig-BJT_Gegen_Sim1"/>
          <w:p>
            <w:pPr>
              <w:pStyle w:val="Compact"/>
              <w:jc w:val="center"/>
            </w:pPr>
            <w:r>
              <w:drawing>
                <wp:inline>
                  <wp:extent cx="5334000" cy="7620000"/>
                  <wp:effectExtent b="0" l="0" r="0" t="0"/>
                  <wp:docPr descr="" title="" id="246" name="Picture"/>
                  <a:graphic>
                    <a:graphicData uri="http://schemas.openxmlformats.org/drawingml/2006/picture">
                      <pic:pic>
                        <pic:nvPicPr>
                          <pic:cNvPr descr="Projekte/Grafiken/01_Transient%20Analysis.svg" id="2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5"/>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48"/>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49"/>
    <w:bookmarkStart w:id="258"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53" w:name="fig-BJT_GegenRueck"/>
          <w:p>
            <w:pPr>
              <w:pStyle w:val="Compact"/>
              <w:jc w:val="center"/>
            </w:pPr>
            <w:r>
              <w:drawing>
                <wp:inline>
                  <wp:extent cx="5334000" cy="4019641"/>
                  <wp:effectExtent b="0" l="0" r="0" t="0"/>
                  <wp:docPr descr="" title="" id="251" name="Picture"/>
                  <a:graphic>
                    <a:graphicData uri="http://schemas.openxmlformats.org/drawingml/2006/picture">
                      <pic:pic>
                        <pic:nvPicPr>
                          <pic:cNvPr descr="Projekte/Grafiken/02_LV_Rueckkopplung.png" id="252" name="Picture"/>
                          <pic:cNvPicPr>
                            <a:picLocks noChangeArrowheads="1" noChangeAspect="1"/>
                          </pic:cNvPicPr>
                        </pic:nvPicPr>
                        <pic:blipFill>
                          <a:blip r:embed="rId250"/>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53"/>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57" w:name="fig-BJT_GegenRueckSim"/>
          <w:p>
            <w:pPr>
              <w:pStyle w:val="Compact"/>
              <w:jc w:val="center"/>
            </w:pPr>
            <w:r>
              <w:drawing>
                <wp:inline>
                  <wp:extent cx="5334000" cy="7620000"/>
                  <wp:effectExtent b="0" l="0" r="0" t="0"/>
                  <wp:docPr descr="" title="" id="255" name="Picture"/>
                  <a:graphic>
                    <a:graphicData uri="http://schemas.openxmlformats.org/drawingml/2006/picture">
                      <pic:pic>
                        <pic:nvPicPr>
                          <pic:cNvPr descr="Projekte/Grafiken/02_Transient%20Analysis.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5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58"/>
    <w:bookmarkStart w:id="273"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62" w:name="fig-BJT_GegenRueckVor"/>
          <w:p>
            <w:pPr>
              <w:pStyle w:val="Compact"/>
              <w:jc w:val="center"/>
            </w:pPr>
            <w:r>
              <w:drawing>
                <wp:inline>
                  <wp:extent cx="5334000" cy="3281896"/>
                  <wp:effectExtent b="0" l="0" r="0" t="0"/>
                  <wp:docPr descr="" title="" id="260" name="Picture"/>
                  <a:graphic>
                    <a:graphicData uri="http://schemas.openxmlformats.org/drawingml/2006/picture">
                      <pic:pic>
                        <pic:nvPicPr>
                          <pic:cNvPr descr="Projekte/Grafiken/03_LV_Vorspannung.png" id="261" name="Picture"/>
                          <pic:cNvPicPr>
                            <a:picLocks noChangeArrowheads="1" noChangeAspect="1"/>
                          </pic:cNvPicPr>
                        </pic:nvPicPr>
                        <pic:blipFill>
                          <a:blip r:embed="rId259"/>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62"/>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66" w:name="fig-BJT_GegenRueckVorDCSw"/>
          <w:p>
            <w:pPr>
              <w:pStyle w:val="Compact"/>
              <w:jc w:val="center"/>
            </w:pPr>
            <w:r>
              <w:drawing>
                <wp:inline>
                  <wp:extent cx="5334000" cy="3810000"/>
                  <wp:effectExtent b="0" l="0" r="0" t="0"/>
                  <wp:docPr descr="" title="" id="264" name="Picture"/>
                  <a:graphic>
                    <a:graphicData uri="http://schemas.openxmlformats.org/drawingml/2006/picture">
                      <pic:pic>
                        <pic:nvPicPr>
                          <pic:cNvPr descr="Projekte/Grafiken/03_DCSweepVorspannung.svg" id="2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3"/>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66"/>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70" w:name="fig-BJT_GegenRueckVorSim1"/>
          <w:p>
            <w:pPr>
              <w:pStyle w:val="Compact"/>
              <w:jc w:val="center"/>
            </w:pPr>
            <w:r>
              <w:drawing>
                <wp:inline>
                  <wp:extent cx="5334000" cy="7620000"/>
                  <wp:effectExtent b="0" l="0" r="0" t="0"/>
                  <wp:docPr descr="" title="" id="268" name="Picture"/>
                  <a:graphic>
                    <a:graphicData uri="http://schemas.openxmlformats.org/drawingml/2006/picture">
                      <pic:pic>
                        <pic:nvPicPr>
                          <pic:cNvPr descr="Projekte/Grafiken/03_Transient%20Analysis.svg" id="2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7"/>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70"/>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C:\Users\leo\AppData\Local\Programs\Quarto\share\formats\docx\note.png" id="27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73"/>
    <w:bookmarkStart w:id="326"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77" w:name="fig-BJT_GegenRueckVorReal2"/>
          <w:p>
            <w:pPr>
              <w:pStyle w:val="Compact"/>
              <w:jc w:val="center"/>
            </w:pPr>
            <w:r>
              <w:drawing>
                <wp:inline>
                  <wp:extent cx="2097365" cy="1470713"/>
                  <wp:effectExtent b="0" l="0" r="0" t="0"/>
                  <wp:docPr descr="" title="" id="275" name="Picture"/>
                  <a:graphic>
                    <a:graphicData uri="http://schemas.openxmlformats.org/drawingml/2006/picture">
                      <pic:pic>
                        <pic:nvPicPr>
                          <pic:cNvPr descr="Projekte/Grafiken/04.01_LV_Reale_Vorspannung.png" id="276" name="Picture"/>
                          <pic:cNvPicPr>
                            <a:picLocks noChangeArrowheads="1" noChangeAspect="1"/>
                          </pic:cNvPicPr>
                        </pic:nvPicPr>
                        <pic:blipFill>
                          <a:blip r:embed="rId274"/>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77"/>
        </w:tc>
      </w:tr>
    </w:tbl>
    <w:p>
      <w:pPr>
        <w:pStyle w:val="BodyText"/>
      </w:pPr>
      <w:r>
        <w:t xml:space="preserve">Der Ablauf ist wie folgt und gilt für alle Dimensionierungsaufgaben von Schaltungen.</w:t>
      </w:r>
    </w:p>
    <w:bookmarkStart w:id="300"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78"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78"/>
    </w:p>
    <w:p>
      <w:pPr>
        <w:pStyle w:val="FirstParagraph"/>
      </w:pPr>
      <w:bookmarkStart w:id="279"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79"/>
    </w:p>
    <w:p>
      <w:pPr>
        <w:pStyle w:val="FirstParagraph"/>
      </w:pPr>
      <w:bookmarkStart w:id="280"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80"/>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81"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81"/>
    </w:p>
    <w:p>
      <w:pPr>
        <w:pStyle w:val="FirstParagraph"/>
      </w:pPr>
      <w:bookmarkStart w:id="282"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82"/>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83"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83"/>
    </w:p>
    <w:p>
      <w:pPr>
        <w:pStyle w:val="FirstParagraph"/>
      </w:pPr>
      <w:bookmarkStart w:id="284"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84"/>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285"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285"/>
    </w:p>
    <w:p>
      <w:pPr>
        <w:pStyle w:val="FirstParagraph"/>
      </w:pPr>
      <w:bookmarkStart w:id="286"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286"/>
    </w:p>
    <w:p>
      <w:pPr>
        <w:pStyle w:val="FirstParagraph"/>
      </w:pPr>
      <w:bookmarkStart w:id="287"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287"/>
    </w:p>
    <w:p>
      <w:pPr>
        <w:pStyle w:val="FirstParagraph"/>
      </w:pPr>
      <w:bookmarkStart w:id="288"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288"/>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89"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289"/>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90"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290"/>
    </w:p>
    <w:p>
      <w:pPr>
        <w:pStyle w:val="FirstParagraph"/>
      </w:pPr>
      <w:bookmarkStart w:id="291"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291"/>
    </w:p>
    <w:p>
      <w:pPr>
        <w:pStyle w:val="FirstParagraph"/>
      </w:pPr>
      <w:bookmarkStart w:id="292"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292"/>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93"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293"/>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94"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294"/>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95"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295"/>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96"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296"/>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97"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297"/>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C:\Users\leo\AppData\Local\Programs\Quarto\share\formats\docx\note.png" id="29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300"/>
    <w:bookmarkStart w:id="313"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304" w:name="fig-BJT_LV_RealeSpannungsquelleSim1"/>
          <w:p>
            <w:pPr>
              <w:pStyle w:val="Compact"/>
              <w:jc w:val="center"/>
            </w:pPr>
            <w:r>
              <w:drawing>
                <wp:inline>
                  <wp:extent cx="5334000" cy="3178208"/>
                  <wp:effectExtent b="0" l="0" r="0" t="0"/>
                  <wp:docPr descr="" title="" id="302" name="Picture"/>
                  <a:graphic>
                    <a:graphicData uri="http://schemas.openxmlformats.org/drawingml/2006/picture">
                      <pic:pic>
                        <pic:nvPicPr>
                          <pic:cNvPr descr="Projekte/Grafiken/04.01_LV_RealeSpannungsquelleSim1.png" id="303" name="Picture"/>
                          <pic:cNvPicPr>
                            <a:picLocks noChangeArrowheads="1" noChangeAspect="1"/>
                          </pic:cNvPicPr>
                        </pic:nvPicPr>
                        <pic:blipFill>
                          <a:blip r:embed="rId301"/>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304"/>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8" w:name="fig-BJT_LV_RealeSpannungsquelleSim2"/>
          <w:p>
            <w:pPr>
              <w:pStyle w:val="Compact"/>
              <w:jc w:val="center"/>
            </w:pPr>
            <w:r>
              <w:drawing>
                <wp:inline>
                  <wp:extent cx="5334000" cy="3759286"/>
                  <wp:effectExtent b="0" l="0" r="0" t="0"/>
                  <wp:docPr descr="" title="" id="306" name="Picture"/>
                  <a:graphic>
                    <a:graphicData uri="http://schemas.openxmlformats.org/drawingml/2006/picture">
                      <pic:pic>
                        <pic:nvPicPr>
                          <pic:cNvPr descr="Projekte/Grafiken/04.01_LV_RealeSpannungsquelleSim2.png" id="307" name="Picture"/>
                          <pic:cNvPicPr>
                            <a:picLocks noChangeArrowheads="1" noChangeAspect="1"/>
                          </pic:cNvPicPr>
                        </pic:nvPicPr>
                        <pic:blipFill>
                          <a:blip r:embed="rId305"/>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308"/>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312" w:name="fig-BJT_LV_RealeSpannungsquelleSim3"/>
          <w:p>
            <w:pPr>
              <w:pStyle w:val="Compact"/>
              <w:jc w:val="center"/>
            </w:pPr>
            <w:r>
              <w:drawing>
                <wp:inline>
                  <wp:extent cx="5334000" cy="3069197"/>
                  <wp:effectExtent b="0" l="0" r="0" t="0"/>
                  <wp:docPr descr="" title="" id="310" name="Picture"/>
                  <a:graphic>
                    <a:graphicData uri="http://schemas.openxmlformats.org/drawingml/2006/picture">
                      <pic:pic>
                        <pic:nvPicPr>
                          <pic:cNvPr descr="Projekte/Grafiken/04.01_LV_RealeSpannungsquelleSim3.png" id="311" name="Picture"/>
                          <pic:cNvPicPr>
                            <a:picLocks noChangeArrowheads="1" noChangeAspect="1"/>
                          </pic:cNvPicPr>
                        </pic:nvPicPr>
                        <pic:blipFill>
                          <a:blip r:embed="rId309"/>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312"/>
        </w:tc>
      </w:tr>
    </w:tbl>
    <w:bookmarkEnd w:id="313"/>
    <w:bookmarkStart w:id="314"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314"/>
    <w:bookmarkStart w:id="325"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318" w:name="fig-BJT_GegenRueckVorReal3"/>
          <w:p>
            <w:pPr>
              <w:pStyle w:val="Compact"/>
              <w:jc w:val="center"/>
            </w:pPr>
            <w:r>
              <w:drawing>
                <wp:inline>
                  <wp:extent cx="5334000" cy="3340971"/>
                  <wp:effectExtent b="0" l="0" r="0" t="0"/>
                  <wp:docPr descr="" title="" id="316" name="Picture"/>
                  <a:graphic>
                    <a:graphicData uri="http://schemas.openxmlformats.org/drawingml/2006/picture">
                      <pic:pic>
                        <pic:nvPicPr>
                          <pic:cNvPr descr="Projekte/Grafiken/04_LV_Reale_VorspannungDCSim1.png" id="317" name="Picture"/>
                          <pic:cNvPicPr>
                            <a:picLocks noChangeArrowheads="1" noChangeAspect="1"/>
                          </pic:cNvPicPr>
                        </pic:nvPicPr>
                        <pic:blipFill>
                          <a:blip r:embed="rId315"/>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318"/>
        </w:tc>
      </w:tr>
    </w:tbl>
    <w:p/>
    <w:tbl>
      <w:tblPr>
        <w:tblStyle w:val="Table"/>
        <w:tblW w:type="pct" w:w="5000"/>
        <w:tblLayout w:type="fixed"/>
        <w:tblLook w:firstRow="0" w:lastRow="0" w:firstColumn="0" w:lastColumn="0" w:noHBand="0" w:noVBand="0" w:val="0000"/>
      </w:tblPr>
      <w:tblGrid>
        <w:gridCol w:w="7920"/>
      </w:tblGrid>
      <w:tr>
        <w:tc>
          <w:tcPr/>
          <w:bookmarkStart w:id="322" w:name="fig-BJT_GegenRueckVorReal4"/>
          <w:p>
            <w:pPr>
              <w:pStyle w:val="Compact"/>
              <w:jc w:val="center"/>
            </w:pPr>
            <w:r>
              <w:drawing>
                <wp:inline>
                  <wp:extent cx="5334000" cy="7620000"/>
                  <wp:effectExtent b="0" l="0" r="0" t="0"/>
                  <wp:docPr descr="" title="" id="320" name="Picture"/>
                  <a:graphic>
                    <a:graphicData uri="http://schemas.openxmlformats.org/drawingml/2006/picture">
                      <pic:pic>
                        <pic:nvPicPr>
                          <pic:cNvPr descr="Projekte/Grafiken/04_Transient%20Analysis.svg" id="3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322"/>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Users\leo\AppData\Local\Programs\Quarto\share\formats\docx\note.png" id="32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325"/>
    <w:bookmarkEnd w:id="326"/>
    <w:bookmarkStart w:id="335"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30" w:name="fig-BJT_GegenRueckVorRealStromDCSim1"/>
          <w:p>
            <w:pPr>
              <w:pStyle w:val="Compact"/>
              <w:jc w:val="center"/>
            </w:pPr>
            <w:r>
              <w:drawing>
                <wp:inline>
                  <wp:extent cx="5334000" cy="3422424"/>
                  <wp:effectExtent b="0" l="0" r="0" t="0"/>
                  <wp:docPr descr="" title="" id="328" name="Picture"/>
                  <a:graphic>
                    <a:graphicData uri="http://schemas.openxmlformats.org/drawingml/2006/picture">
                      <pic:pic>
                        <pic:nvPicPr>
                          <pic:cNvPr descr="Projekte/Grafiken/05_LV_StromquellenDCSim1.png" id="329" name="Picture"/>
                          <pic:cNvPicPr>
                            <a:picLocks noChangeArrowheads="1" noChangeAspect="1"/>
                          </pic:cNvPicPr>
                        </pic:nvPicPr>
                        <pic:blipFill>
                          <a:blip r:embed="rId327"/>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30"/>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4" w:name="fig-BJT_GegenRueckVorRealStromTRANSim1"/>
          <w:p>
            <w:pPr>
              <w:pStyle w:val="Compact"/>
              <w:jc w:val="center"/>
            </w:pPr>
            <w:r>
              <w:drawing>
                <wp:inline>
                  <wp:extent cx="5334000" cy="7620000"/>
                  <wp:effectExtent b="0" l="0" r="0" t="0"/>
                  <wp:docPr descr="" title="" id="332" name="Picture"/>
                  <a:graphic>
                    <a:graphicData uri="http://schemas.openxmlformats.org/drawingml/2006/picture">
                      <pic:pic>
                        <pic:nvPicPr>
                          <pic:cNvPr descr="Projekte/Grafiken/05_Transient%20Analysis.svg" id="3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1"/>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34"/>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35"/>
    <w:bookmarkStart w:id="352"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39" w:name="fig-BJT_GegenRueckVorRealStromOPSim1"/>
          <w:p>
            <w:pPr>
              <w:pStyle w:val="Compact"/>
              <w:jc w:val="center"/>
            </w:pPr>
            <w:r>
              <w:drawing>
                <wp:inline>
                  <wp:extent cx="5334000" cy="2446372"/>
                  <wp:effectExtent b="0" l="0" r="0" t="0"/>
                  <wp:docPr descr="" title="" id="337" name="Picture"/>
                  <a:graphic>
                    <a:graphicData uri="http://schemas.openxmlformats.org/drawingml/2006/picture">
                      <pic:pic>
                        <pic:nvPicPr>
                          <pic:cNvPr descr="Projekte/Grafiken/05.01_RealeStromquellenOPSim1.png" id="338" name="Picture"/>
                          <pic:cNvPicPr>
                            <a:picLocks noChangeArrowheads="1" noChangeAspect="1"/>
                          </pic:cNvPicPr>
                        </pic:nvPicPr>
                        <pic:blipFill>
                          <a:blip r:embed="rId336"/>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39"/>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43" w:name="X719cdff3826e19c00e00b5b4a6fd8381ad90f32"/>
          <w:p>
            <w:pPr>
              <w:pStyle w:val="Compact"/>
              <w:jc w:val="center"/>
            </w:pPr>
            <w:r>
              <w:drawing>
                <wp:inline>
                  <wp:extent cx="5334000" cy="3240949"/>
                  <wp:effectExtent b="0" l="0" r="0" t="0"/>
                  <wp:docPr descr="" title="" id="341" name="Picture"/>
                  <a:graphic>
                    <a:graphicData uri="http://schemas.openxmlformats.org/drawingml/2006/picture">
                      <pic:pic>
                        <pic:nvPicPr>
                          <pic:cNvPr descr="Projekte/Grafiken/05.01_RealeStromquelleDCSim1.png" id="342" name="Picture"/>
                          <pic:cNvPicPr>
                            <a:picLocks noChangeArrowheads="1" noChangeAspect="1"/>
                          </pic:cNvPicPr>
                        </pic:nvPicPr>
                        <pic:blipFill>
                          <a:blip r:embed="rId340"/>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43"/>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47" w:name="fig-BJT_06_LV_Real"/>
          <w:p>
            <w:pPr>
              <w:pStyle w:val="Compact"/>
              <w:jc w:val="center"/>
            </w:pPr>
            <w:r>
              <w:drawing>
                <wp:inline>
                  <wp:extent cx="5334000" cy="4903767"/>
                  <wp:effectExtent b="0" l="0" r="0" t="0"/>
                  <wp:docPr descr="" title="" id="345" name="Picture"/>
                  <a:graphic>
                    <a:graphicData uri="http://schemas.openxmlformats.org/drawingml/2006/picture">
                      <pic:pic>
                        <pic:nvPicPr>
                          <pic:cNvPr descr="Projekte/Grafiken/06_LV_Real.png" id="346" name="Picture"/>
                          <pic:cNvPicPr>
                            <a:picLocks noChangeArrowheads="1" noChangeAspect="1"/>
                          </pic:cNvPicPr>
                        </pic:nvPicPr>
                        <pic:blipFill>
                          <a:blip r:embed="rId344"/>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47"/>
        </w:tc>
      </w:tr>
    </w:tbl>
    <w:p/>
    <w:tbl>
      <w:tblPr>
        <w:tblStyle w:val="Table"/>
        <w:tblW w:type="pct" w:w="5000"/>
        <w:tblLayout w:type="fixed"/>
        <w:tblLook w:firstRow="0" w:lastRow="0" w:firstColumn="0" w:lastColumn="0" w:noHBand="0" w:noVBand="0" w:val="0000"/>
      </w:tblPr>
      <w:tblGrid>
        <w:gridCol w:w="7920"/>
      </w:tblGrid>
      <w:tr>
        <w:tc>
          <w:tcPr/>
          <w:bookmarkStart w:id="351" w:name="fig-BJT_06_LV_Real_TRANSim1"/>
          <w:p>
            <w:pPr>
              <w:pStyle w:val="Compact"/>
              <w:jc w:val="center"/>
            </w:pPr>
            <w:r>
              <w:drawing>
                <wp:inline>
                  <wp:extent cx="5334000" cy="7620000"/>
                  <wp:effectExtent b="0" l="0" r="0" t="0"/>
                  <wp:docPr descr="" title="" id="349" name="Picture"/>
                  <a:graphic>
                    <a:graphicData uri="http://schemas.openxmlformats.org/drawingml/2006/picture">
                      <pic:pic>
                        <pic:nvPicPr>
                          <pic:cNvPr descr="Projekte/Grafiken/06_Transient%20Analysis.svg" id="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5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52"/>
    <w:bookmarkStart w:id="359"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56" w:name="fig-BJT_07_LV_StromBeg"/>
          <w:p>
            <w:pPr>
              <w:pStyle w:val="Compact"/>
              <w:jc w:val="center"/>
            </w:pPr>
            <w:r>
              <w:drawing>
                <wp:inline>
                  <wp:extent cx="5334000" cy="4209857"/>
                  <wp:effectExtent b="0" l="0" r="0" t="0"/>
                  <wp:docPr descr="" title="" id="354" name="Picture"/>
                  <a:graphic>
                    <a:graphicData uri="http://schemas.openxmlformats.org/drawingml/2006/picture">
                      <pic:pic>
                        <pic:nvPicPr>
                          <pic:cNvPr descr="Projekte/Grafiken/07_LV_StromBeg.png" id="355" name="Picture"/>
                          <pic:cNvPicPr>
                            <a:picLocks noChangeArrowheads="1" noChangeAspect="1"/>
                          </pic:cNvPicPr>
                        </pic:nvPicPr>
                        <pic:blipFill>
                          <a:blip r:embed="rId353"/>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56"/>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57"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57"/>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58"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58"/>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59"/>
    <w:bookmarkStart w:id="360" w:name="praktische-herangehensweise"/>
    <w:p>
      <w:pPr>
        <w:pStyle w:val="Heading2"/>
      </w:pPr>
      <w:r>
        <w:t xml:space="preserve">6.8 Praktische Herangehensweise</w:t>
      </w:r>
    </w:p>
    <w:p>
      <w:pPr>
        <w:pStyle w:val="Compact"/>
        <w:numPr>
          <w:ilvl w:val="0"/>
          <w:numId w:val="1008"/>
        </w:numPr>
      </w:pPr>
      <w:r>
        <w:t xml:space="preserve">Welche Last muss versorgt werden?</w:t>
      </w:r>
    </w:p>
    <w:p>
      <w:pPr>
        <w:pStyle w:val="Compact"/>
        <w:numPr>
          <w:ilvl w:val="0"/>
          <w:numId w:val="1008"/>
        </w:numPr>
      </w:pPr>
      <w:r>
        <w:t xml:space="preserve">Welche Lastströme sind gewünscht?</w:t>
      </w:r>
    </w:p>
    <w:p>
      <w:pPr>
        <w:pStyle w:val="Compact"/>
        <w:numPr>
          <w:ilvl w:val="0"/>
          <w:numId w:val="1008"/>
        </w:numPr>
      </w:pPr>
      <w:r>
        <w:t xml:space="preserve">Auswahl passender Transistoren in Bezug auf die maximale Werte.</w:t>
      </w:r>
    </w:p>
    <w:p>
      <w:pPr>
        <w:pStyle w:val="Compact"/>
        <w:numPr>
          <w:ilvl w:val="0"/>
          <w:numId w:val="1008"/>
        </w:numPr>
      </w:pPr>
      <w:r>
        <w:t xml:space="preserve">Definition der Qualitätsparameter, z.B. Differenz der Ein- und Ausgangspannungen, Oberwellen Anteile, …</w:t>
      </w:r>
    </w:p>
    <w:bookmarkEnd w:id="360"/>
    <w:bookmarkStart w:id="361"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61"/>
    <w:bookmarkEnd w:id="362"/>
    <w:bookmarkStart w:id="427"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09"/>
        </w:numPr>
      </w:pPr>
      <w:r>
        <w:t xml:space="preserve">Linkslauf</w:t>
      </w:r>
      <w:r>
        <w:br/>
      </w:r>
    </w:p>
    <w:p>
      <w:pPr>
        <w:pStyle w:val="Compact"/>
        <w:numPr>
          <w:ilvl w:val="0"/>
          <w:numId w:val="1009"/>
        </w:numPr>
      </w:pPr>
      <w:r>
        <w:t xml:space="preserve">Rechtslauf</w:t>
      </w:r>
      <w:r>
        <w:br/>
      </w:r>
    </w:p>
    <w:p>
      <w:pPr>
        <w:pStyle w:val="Compact"/>
        <w:numPr>
          <w:ilvl w:val="0"/>
          <w:numId w:val="1009"/>
        </w:numPr>
      </w:pPr>
      <w:r>
        <w:t xml:space="preserve">Bremsen</w:t>
      </w:r>
      <w:r>
        <w:br/>
      </w:r>
    </w:p>
    <w:p>
      <w:pPr>
        <w:pStyle w:val="Compact"/>
        <w:numPr>
          <w:ilvl w:val="0"/>
          <w:numId w:val="1009"/>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10"/>
        </w:numPr>
      </w:pPr>
      <w:r>
        <w:t xml:space="preserve">Strukturiertes aufbereiten einer Aufgabenstellung</w:t>
      </w:r>
      <w:r>
        <w:br/>
      </w:r>
    </w:p>
    <w:p>
      <w:pPr>
        <w:pStyle w:val="Compact"/>
        <w:numPr>
          <w:ilvl w:val="0"/>
          <w:numId w:val="1010"/>
        </w:numPr>
      </w:pPr>
      <w:r>
        <w:t xml:space="preserve">Auslegung von digitalen Schaltungen</w:t>
      </w:r>
      <w:r>
        <w:br/>
      </w:r>
    </w:p>
    <w:p>
      <w:pPr>
        <w:pStyle w:val="Compact"/>
        <w:numPr>
          <w:ilvl w:val="0"/>
          <w:numId w:val="1010"/>
        </w:numPr>
      </w:pPr>
      <w:r>
        <w:t xml:space="preserve">Plausibilität und Qualitätsbeurteilung mittels Simulation</w:t>
      </w:r>
      <w:r>
        <w:br/>
      </w:r>
    </w:p>
    <w:p>
      <w:pPr>
        <w:pStyle w:val="Compact"/>
        <w:numPr>
          <w:ilvl w:val="0"/>
          <w:numId w:val="1010"/>
        </w:numPr>
      </w:pPr>
      <w:r>
        <w:t xml:space="preserve">Hierarchisches Design in Schaltplänen</w:t>
      </w:r>
    </w:p>
    <w:p>
      <w:pPr>
        <w:pStyle w:val="Compact"/>
        <w:numPr>
          <w:ilvl w:val="0"/>
          <w:numId w:val="1010"/>
        </w:numPr>
      </w:pPr>
      <w:r>
        <w:t xml:space="preserve">Strukturiertes, zeitoptimiertes Dokumentieren der Arbeit</w:t>
      </w:r>
      <w:r>
        <w:br/>
      </w:r>
    </w:p>
    <w:p>
      <w:pPr>
        <w:pStyle w:val="Compact"/>
        <w:numPr>
          <w:ilvl w:val="0"/>
          <w:numId w:val="1010"/>
        </w:numPr>
      </w:pPr>
      <w:r>
        <w:t xml:space="preserve">Application Notes/Datenblätter der Hersteller lesen und verstehen</w:t>
      </w:r>
    </w:p>
    <w:p>
      <w:pPr>
        <w:pStyle w:val="FirstParagraph"/>
      </w:pPr>
      <w:r>
        <w:rPr>
          <w:b/>
          <w:bCs/>
        </w:rPr>
        <w:t xml:space="preserve">Hilfestellung</w:t>
      </w:r>
    </w:p>
    <w:p>
      <w:pPr>
        <w:pStyle w:val="BodyText"/>
      </w:pPr>
      <w:hyperlink r:id="rId363">
        <w:r>
          <w:rPr>
            <w:rStyle w:val="Hyperlink"/>
          </w:rPr>
          <w:t xml:space="preserve">Video: Hierarchisches Design</w:t>
        </w:r>
      </w:hyperlink>
      <w:r>
        <w:br/>
      </w:r>
      <w:hyperlink r:id="rId364">
        <w:r>
          <w:rPr>
            <w:rStyle w:val="Hyperlink"/>
          </w:rPr>
          <w:t xml:space="preserve">Altium Hilfe: Multi-sheet &amp; Hierarchical Designs in Altium Designer</w:t>
        </w:r>
      </w:hyperlink>
    </w:p>
    <w:bookmarkStart w:id="389"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8" w:name="fig-H-Bruecke"/>
          <w:p>
            <w:pPr>
              <w:pStyle w:val="Compact"/>
              <w:jc w:val="center"/>
            </w:pPr>
            <w:r>
              <w:drawing>
                <wp:inline>
                  <wp:extent cx="5334000" cy="3718089"/>
                  <wp:effectExtent b="0" l="0" r="0" t="0"/>
                  <wp:docPr descr="" title="" id="366" name="Picture"/>
                  <a:graphic>
                    <a:graphicData uri="http://schemas.openxmlformats.org/drawingml/2006/picture">
                      <pic:pic>
                        <pic:nvPicPr>
                          <pic:cNvPr descr="Projekte/Grafiken/Hbruecke/Vierquadrantensteller.png" id="367" name="Picture"/>
                          <pic:cNvPicPr>
                            <a:picLocks noChangeArrowheads="1" noChangeAspect="1"/>
                          </pic:cNvPicPr>
                        </pic:nvPicPr>
                        <pic:blipFill>
                          <a:blip r:embed="rId365"/>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68"/>
        </w:tc>
      </w:tr>
    </w:tbl>
    <w:bookmarkStart w:id="388"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2" w:name="fig-H-BrueckeMS"/>
          <w:p>
            <w:pPr>
              <w:pStyle w:val="Compact"/>
              <w:jc w:val="center"/>
            </w:pPr>
            <w:r>
              <w:drawing>
                <wp:inline>
                  <wp:extent cx="3556000" cy="3759200"/>
                  <wp:effectExtent b="0" l="0" r="0" t="0"/>
                  <wp:docPr descr="" title="" id="370" name="Picture"/>
                  <a:graphic>
                    <a:graphicData uri="http://schemas.openxmlformats.org/drawingml/2006/picture">
                      <pic:pic>
                        <pic:nvPicPr>
                          <pic:cNvPr descr="Projekte/Grafiken/Hbruecke/MitSchaltern.png" id="371" name="Picture"/>
                          <pic:cNvPicPr>
                            <a:picLocks noChangeArrowheads="1" noChangeAspect="1"/>
                          </pic:cNvPicPr>
                        </pic:nvPicPr>
                        <pic:blipFill>
                          <a:blip r:embed="rId369"/>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72"/>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77"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76" w:name="fig-H-BrueckeMSLL"/>
          <w:p>
            <w:pPr>
              <w:pStyle w:val="Compact"/>
              <w:jc w:val="center"/>
            </w:pPr>
            <w:r>
              <w:drawing>
                <wp:inline>
                  <wp:extent cx="3556000" cy="3759200"/>
                  <wp:effectExtent b="0" l="0" r="0" t="0"/>
                  <wp:docPr descr="" title="" id="374" name="Picture"/>
                  <a:graphic>
                    <a:graphicData uri="http://schemas.openxmlformats.org/drawingml/2006/picture">
                      <pic:pic>
                        <pic:nvPicPr>
                          <pic:cNvPr descr="Projekte/Grafiken/Hbruecke/MitSchalternLL.png" id="375" name="Picture"/>
                          <pic:cNvPicPr>
                            <a:picLocks noChangeArrowheads="1" noChangeAspect="1"/>
                          </pic:cNvPicPr>
                        </pic:nvPicPr>
                        <pic:blipFill>
                          <a:blip r:embed="rId37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76"/>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77"/>
    <w:bookmarkStart w:id="382"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81" w:name="fig-H-BrueckeMSRL"/>
          <w:p>
            <w:pPr>
              <w:pStyle w:val="Compact"/>
              <w:jc w:val="center"/>
            </w:pPr>
            <w:r>
              <w:drawing>
                <wp:inline>
                  <wp:extent cx="3556000" cy="3759200"/>
                  <wp:effectExtent b="0" l="0" r="0" t="0"/>
                  <wp:docPr descr="" title="" id="379" name="Picture"/>
                  <a:graphic>
                    <a:graphicData uri="http://schemas.openxmlformats.org/drawingml/2006/picture">
                      <pic:pic>
                        <pic:nvPicPr>
                          <pic:cNvPr descr="Projekte/Grafiken/Hbruecke/MitSchalternRL.png" id="380" name="Picture"/>
                          <pic:cNvPicPr>
                            <a:picLocks noChangeArrowheads="1" noChangeAspect="1"/>
                          </pic:cNvPicPr>
                        </pic:nvPicPr>
                        <pic:blipFill>
                          <a:blip r:embed="rId37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81"/>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82"/>
    <w:bookmarkStart w:id="387"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386" w:name="fig-H-BrueckeMSBremse"/>
          <w:p>
            <w:pPr>
              <w:pStyle w:val="Compact"/>
              <w:jc w:val="center"/>
            </w:pPr>
            <w:r>
              <w:drawing>
                <wp:inline>
                  <wp:extent cx="3556000" cy="3759200"/>
                  <wp:effectExtent b="0" l="0" r="0" t="0"/>
                  <wp:docPr descr="" title="" id="384" name="Picture"/>
                  <a:graphic>
                    <a:graphicData uri="http://schemas.openxmlformats.org/drawingml/2006/picture">
                      <pic:pic>
                        <pic:nvPicPr>
                          <pic:cNvPr descr="Projekte/Grafiken/Hbruecke/MitSchalternBremse.png" id="385" name="Picture"/>
                          <pic:cNvPicPr>
                            <a:picLocks noChangeArrowheads="1" noChangeAspect="1"/>
                          </pic:cNvPicPr>
                        </pic:nvPicPr>
                        <pic:blipFill>
                          <a:blip r:embed="rId38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386"/>
        </w:tc>
      </w:tr>
    </w:tbl>
    <w:bookmarkEnd w:id="387"/>
    <w:bookmarkEnd w:id="388"/>
    <w:bookmarkEnd w:id="389"/>
    <w:bookmarkStart w:id="405" w:name="entwicklung-der-logik"/>
    <w:p>
      <w:pPr>
        <w:pStyle w:val="Heading2"/>
      </w:pPr>
      <w:r>
        <w:t xml:space="preserve">7.2 Entwicklung der Logik</w:t>
      </w:r>
    </w:p>
    <w:bookmarkStart w:id="395"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390"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390"/>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Users\leo\AppData\Local\Programs\Quarto\share\formats\docx\note.png" id="39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393"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3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4"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394"/>
        </w:tc>
      </w:tr>
    </w:tbl>
    <w:p>
      <w:pPr>
        <w:pStyle w:val="BodyText"/>
      </w:pPr>
      <w:r>
        <w:t xml:space="preserve">Die Tabellen stimmen überein. Die Gleichungen sind somit richtig.</w:t>
      </w:r>
    </w:p>
    <w:bookmarkEnd w:id="395"/>
    <w:bookmarkStart w:id="404"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eo\AppData\Local\Programs\Quarto\share\formats\docx\note.png" id="39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8" name="Picture"/>
                  <a:graphic>
                    <a:graphicData uri="http://schemas.openxmlformats.org/drawingml/2006/picture">
                      <pic:pic>
                        <pic:nvPicPr>
                          <pic:cNvPr descr="C:\Users\leo\AppData\Local\Programs\Quarto\share\formats\docx\note.png" id="39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403" w:name="fig-LogikSchaltung"/>
          <w:p>
            <w:pPr>
              <w:pStyle w:val="Compact"/>
              <w:jc w:val="center"/>
            </w:pPr>
            <w:r>
              <w:drawing>
                <wp:inline>
                  <wp:extent cx="5332395" cy="7372951"/>
                  <wp:effectExtent b="0" l="0" r="0" t="0"/>
                  <wp:docPr descr="" title="" id="401" name="Picture"/>
                  <a:graphic>
                    <a:graphicData uri="http://schemas.openxmlformats.org/drawingml/2006/picture">
                      <pic:pic>
                        <pic:nvPicPr>
                          <pic:cNvPr descr="Projekte/Grafiken/Hbruecke/LogicCirciut.png" id="402" name="Picture"/>
                          <pic:cNvPicPr>
                            <a:picLocks noChangeArrowheads="1" noChangeAspect="1"/>
                          </pic:cNvPicPr>
                        </pic:nvPicPr>
                        <pic:blipFill>
                          <a:blip r:embed="rId400"/>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403"/>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404"/>
    <w:bookmarkEnd w:id="405"/>
    <w:bookmarkStart w:id="412"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410"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409" w:name="fig-OPV-Schaltung"/>
          <w:p>
            <w:pPr>
              <w:pStyle w:val="Compact"/>
              <w:jc w:val="center"/>
            </w:pPr>
            <w:r>
              <w:drawing>
                <wp:inline>
                  <wp:extent cx="5334000" cy="1670614"/>
                  <wp:effectExtent b="0" l="0" r="0" t="0"/>
                  <wp:docPr descr="" title="" id="407" name="Picture"/>
                  <a:graphic>
                    <a:graphicData uri="http://schemas.openxmlformats.org/drawingml/2006/picture">
                      <pic:pic>
                        <pic:nvPicPr>
                          <pic:cNvPr descr="Projekte/Grafiken/Hbruecke/OPV-Schaltung.png" id="408" name="Picture"/>
                          <pic:cNvPicPr>
                            <a:picLocks noChangeArrowheads="1" noChangeAspect="1"/>
                          </pic:cNvPicPr>
                        </pic:nvPicPr>
                        <pic:blipFill>
                          <a:blip r:embed="rId406"/>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409"/>
        </w:tc>
      </w:tr>
    </w:tbl>
    <w:bookmarkEnd w:id="410"/>
    <w:bookmarkStart w:id="411"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11"/>
        </w:numPr>
      </w:pPr>
      <w:r>
        <w:t xml:space="preserve">Treiber für H-Brücken in einem IC</w:t>
      </w:r>
      <w:r>
        <w:t xml:space="preserve"> </w:t>
      </w:r>
      <w:r>
        <w:t xml:space="preserve">[5]</w:t>
      </w:r>
      <w:r>
        <w:br/>
      </w:r>
    </w:p>
    <w:p>
      <w:pPr>
        <w:pStyle w:val="Compact"/>
        <w:numPr>
          <w:ilvl w:val="0"/>
          <w:numId w:val="1011"/>
        </w:numPr>
      </w:pPr>
      <w:r>
        <w:t xml:space="preserve">Logik und Treiber in einem IC</w:t>
      </w:r>
      <w:r>
        <w:t xml:space="preserve"> </w:t>
      </w:r>
      <w:r>
        <w:t xml:space="preserve">[6]</w:t>
      </w:r>
      <w:r>
        <w:br/>
      </w:r>
    </w:p>
    <w:p>
      <w:pPr>
        <w:pStyle w:val="Compact"/>
        <w:numPr>
          <w:ilvl w:val="0"/>
          <w:numId w:val="1011"/>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411"/>
    <w:bookmarkEnd w:id="412"/>
    <w:bookmarkStart w:id="425"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416" w:name="fig-TopSheet"/>
          <w:p>
            <w:pPr>
              <w:pStyle w:val="Compact"/>
              <w:jc w:val="center"/>
            </w:pPr>
            <w:r>
              <w:drawing>
                <wp:inline>
                  <wp:extent cx="5334000" cy="1713238"/>
                  <wp:effectExtent b="0" l="0" r="0" t="0"/>
                  <wp:docPr descr="" title="" id="414" name="Picture"/>
                  <a:graphic>
                    <a:graphicData uri="http://schemas.openxmlformats.org/drawingml/2006/picture">
                      <pic:pic>
                        <pic:nvPicPr>
                          <pic:cNvPr descr="Projekte/Grafiken/Hbruecke/TopSheet.png" id="415" name="Picture"/>
                          <pic:cNvPicPr>
                            <a:picLocks noChangeArrowheads="1" noChangeAspect="1"/>
                          </pic:cNvPicPr>
                        </pic:nvPicPr>
                        <pic:blipFill>
                          <a:blip r:embed="rId413"/>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4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SimpleMotorModel"/>
          <w:p>
            <w:pPr>
              <w:pStyle w:val="Compact"/>
              <w:jc w:val="center"/>
            </w:pPr>
            <w:r>
              <w:drawing>
                <wp:inline>
                  <wp:extent cx="1157387" cy="2097365"/>
                  <wp:effectExtent b="0" l="0" r="0" t="0"/>
                  <wp:docPr descr="" title="" id="418" name="Picture"/>
                  <a:graphic>
                    <a:graphicData uri="http://schemas.openxmlformats.org/drawingml/2006/picture">
                      <pic:pic>
                        <pic:nvPicPr>
                          <pic:cNvPr descr="Projekte/Grafiken/Hbruecke/SimpleMotorModel.png" id="419" name="Picture"/>
                          <pic:cNvPicPr>
                            <a:picLocks noChangeArrowheads="1" noChangeAspect="1"/>
                          </pic:cNvPicPr>
                        </pic:nvPicPr>
                        <pic:blipFill>
                          <a:blip r:embed="rId417"/>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4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4" w:name="fig-ExtendedMotorModell"/>
          <w:p>
            <w:pPr>
              <w:pStyle w:val="Compact"/>
              <w:jc w:val="center"/>
            </w:pPr>
            <w:r>
              <w:drawing>
                <wp:inline>
                  <wp:extent cx="4267200" cy="4003721"/>
                  <wp:effectExtent b="0" l="0" r="0" t="0"/>
                  <wp:docPr descr="" title="" id="422" name="Picture"/>
                  <a:graphic>
                    <a:graphicData uri="http://schemas.openxmlformats.org/drawingml/2006/picture">
                      <pic:pic>
                        <pic:nvPicPr>
                          <pic:cNvPr descr="Projekte/Grafiken/Hbruecke/AdvancedMotorModel.png" id="423" name="Picture"/>
                          <pic:cNvPicPr>
                            <a:picLocks noChangeArrowheads="1" noChangeAspect="1"/>
                          </pic:cNvPicPr>
                        </pic:nvPicPr>
                        <pic:blipFill>
                          <a:blip r:embed="rId421"/>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424"/>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425"/>
    <w:bookmarkStart w:id="426" w:name="pwm-und-induktive-lasten"/>
    <w:p>
      <w:pPr>
        <w:pStyle w:val="Heading2"/>
      </w:pPr>
      <w:r>
        <w:t xml:space="preserve">7.5 PWM und induktive Lasten</w:t>
      </w:r>
    </w:p>
    <w:p>
      <w:pPr>
        <w:pStyle w:val="FirstParagraph"/>
      </w:pPr>
      <w:r>
        <w:rPr>
          <w:b/>
          <w:bCs/>
        </w:rPr>
        <w:t xml:space="preserve">To Be Continued</w:t>
      </w:r>
    </w:p>
    <w:bookmarkEnd w:id="426"/>
    <w:bookmarkEnd w:id="427"/>
    <w:bookmarkStart w:id="520"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12"/>
        </w:numPr>
      </w:pPr>
      <w:r>
        <w:t xml:space="preserve">Taktgeber für digitale Schaltungen</w:t>
      </w:r>
      <w:r>
        <w:br/>
      </w:r>
    </w:p>
    <w:p>
      <w:pPr>
        <w:pStyle w:val="Compact"/>
        <w:numPr>
          <w:ilvl w:val="0"/>
          <w:numId w:val="1012"/>
        </w:numPr>
      </w:pPr>
      <w:r>
        <w:t xml:space="preserve">Erzeugung von Trägersignalen für Drahtlose Kommunikation</w:t>
      </w:r>
      <w:r>
        <w:br/>
      </w:r>
    </w:p>
    <w:p>
      <w:pPr>
        <w:pStyle w:val="Compact"/>
        <w:numPr>
          <w:ilvl w:val="0"/>
          <w:numId w:val="1012"/>
        </w:numPr>
      </w:pPr>
      <w:r>
        <w:t xml:space="preserve">Frequenzgeneratoren</w:t>
      </w:r>
      <w:r>
        <w:br/>
      </w:r>
    </w:p>
    <w:p>
      <w:pPr>
        <w:pStyle w:val="Compact"/>
        <w:numPr>
          <w:ilvl w:val="0"/>
          <w:numId w:val="1012"/>
        </w:numPr>
      </w:pPr>
      <w:r>
        <w:t xml:space="preserve">Taktsignale für die Zeitmessung</w:t>
      </w:r>
      <w:r>
        <w:br/>
      </w:r>
    </w:p>
    <w:p>
      <w:pPr>
        <w:pStyle w:val="Compact"/>
        <w:numPr>
          <w:ilvl w:val="0"/>
          <w:numId w:val="1012"/>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37"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429"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428">
        <w:r>
          <w:rPr>
            <w:rStyle w:val="Hyperlink"/>
          </w:rPr>
          <w:t xml:space="preserve">Altium Designer - Oscillators</w:t>
        </w:r>
      </w:hyperlink>
    </w:p>
    <w:bookmarkEnd w:id="429"/>
    <w:bookmarkStart w:id="436"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33" w:name="fig-OscBlockschaltbildOszillator"/>
          <w:p>
            <w:pPr>
              <w:pStyle w:val="Compact"/>
              <w:jc w:val="center"/>
            </w:pPr>
            <w:r>
              <w:drawing>
                <wp:inline>
                  <wp:extent cx="5334000" cy="1796254"/>
                  <wp:effectExtent b="0" l="0" r="0" t="0"/>
                  <wp:docPr descr="" title="" id="431" name="Picture"/>
                  <a:graphic>
                    <a:graphicData uri="http://schemas.openxmlformats.org/drawingml/2006/picture">
                      <pic:pic>
                        <pic:nvPicPr>
                          <pic:cNvPr descr="Projekte/Oszillator/OszillatorBlockschaltbild.png" id="432" name="Picture"/>
                          <pic:cNvPicPr>
                            <a:picLocks noChangeArrowheads="1" noChangeAspect="1"/>
                          </pic:cNvPicPr>
                        </pic:nvPicPr>
                        <pic:blipFill>
                          <a:blip r:embed="rId430"/>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33"/>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34">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35">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36"/>
    <w:bookmarkEnd w:id="437"/>
    <w:bookmarkStart w:id="513"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56"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1" w:name="fig-RCSchwingkreis"/>
          <w:p>
            <w:pPr>
              <w:pStyle w:val="Compact"/>
              <w:jc w:val="center"/>
            </w:pPr>
            <w:r>
              <w:drawing>
                <wp:inline>
                  <wp:extent cx="3599999" cy="4534999"/>
                  <wp:effectExtent b="0" l="0" r="0" t="0"/>
                  <wp:docPr descr="" title="" id="439" name="Picture"/>
                  <a:graphic>
                    <a:graphicData uri="http://schemas.openxmlformats.org/drawingml/2006/picture">
                      <pic:pic>
                        <pic:nvPicPr>
                          <pic:cNvPr descr="Projekte/Oszillator/RCSchwingkreis.png" id="440" name="Picture"/>
                          <pic:cNvPicPr>
                            <a:picLocks noChangeArrowheads="1" noChangeAspect="1"/>
                          </pic:cNvPicPr>
                        </pic:nvPicPr>
                        <pic:blipFill>
                          <a:blip r:embed="rId438"/>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41"/>
        </w:tc>
      </w:tr>
    </w:tbl>
    <w:p>
      <w:pPr>
        <w:pStyle w:val="BodyText"/>
      </w:pPr>
      <w:r>
        <w:t xml:space="preserve">Die Übertragungsfunktion lässt sich nun auf zwei Arten darstellen. Entweder mathematisch mittels der Komplexen Wechselstromrechnung oder mittels Simulation.</w:t>
      </w:r>
    </w:p>
    <w:bookmarkStart w:id="448"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42"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42"/>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43"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43"/>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44"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44"/>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45"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45"/>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46"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46"/>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47"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47"/>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48"/>
    <w:bookmarkStart w:id="455"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52" w:name="fig-ACBodeRCSchwingkreis"/>
          <w:p>
            <w:pPr>
              <w:pStyle w:val="Compact"/>
              <w:jc w:val="center"/>
            </w:pPr>
            <w:r>
              <w:drawing>
                <wp:inline>
                  <wp:extent cx="5334000" cy="2804948"/>
                  <wp:effectExtent b="0" l="0" r="0" t="0"/>
                  <wp:docPr descr="" title="" id="450" name="Picture"/>
                  <a:graphic>
                    <a:graphicData uri="http://schemas.openxmlformats.org/drawingml/2006/picture">
                      <pic:pic>
                        <pic:nvPicPr>
                          <pic:cNvPr descr="Projekte/Oszillator/ACAnalysis.png" id="451" name="Picture"/>
                          <pic:cNvPicPr>
                            <a:picLocks noChangeArrowheads="1" noChangeAspect="1"/>
                          </pic:cNvPicPr>
                        </pic:nvPicPr>
                        <pic:blipFill>
                          <a:blip r:embed="rId449"/>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3"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53"/>
        </w:tc>
      </w:tr>
    </w:tbl>
    <w:p>
      <w:pPr>
        <w:pStyle w:val="BodyText"/>
      </w:pPr>
      <w:r>
        <w:t xml:space="preserve">Um die Ergebnisse vergleichen zu können muss von der Frequenz auf die Kreisfrequenz umgerechnet werden.</w:t>
      </w:r>
    </w:p>
    <w:p>
      <w:pPr>
        <w:pStyle w:val="BodyText"/>
      </w:pPr>
      <w:bookmarkStart w:id="454"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54"/>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55"/>
    <w:bookmarkEnd w:id="456"/>
    <w:bookmarkStart w:id="472"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58"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57"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57"/>
    </w:p>
    <w:p>
      <w:pPr>
        <w:pStyle w:val="FirstParagraph"/>
      </w:pPr>
      <m:oMath>
        <m:sSub>
          <m:e>
            <m:r>
              <m:t>k</m:t>
            </m:r>
          </m:e>
          <m:sub>
            <m:r>
              <m:t>O</m:t>
            </m:r>
            <m:r>
              <m:t>P</m:t>
            </m:r>
            <m:r>
              <m:t>V</m:t>
            </m:r>
          </m:sub>
        </m:sSub>
      </m:oMath>
      <w:r>
        <w:t xml:space="preserve"> </w:t>
      </w:r>
      <w:r>
        <w:t xml:space="preserve">… Verstärkung des Verstärkers</w:t>
      </w:r>
    </w:p>
    <w:bookmarkEnd w:id="458"/>
    <w:bookmarkStart w:id="465"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62" w:name="fig-OscOpenLoop"/>
          <w:p>
            <w:pPr>
              <w:pStyle w:val="Compact"/>
              <w:jc w:val="center"/>
            </w:pPr>
            <w:r>
              <w:drawing>
                <wp:inline>
                  <wp:extent cx="3599999" cy="855605"/>
                  <wp:effectExtent b="0" l="0" r="0" t="0"/>
                  <wp:docPr descr="" title="" id="460" name="Picture"/>
                  <a:graphic>
                    <a:graphicData uri="http://schemas.openxmlformats.org/drawingml/2006/picture">
                      <pic:pic>
                        <pic:nvPicPr>
                          <pic:cNvPr descr="Projekte/Oszillator/OszillatorBlockschaltbildOpenLoop.png" id="461" name="Picture"/>
                          <pic:cNvPicPr>
                            <a:picLocks noChangeArrowheads="1" noChangeAspect="1"/>
                          </pic:cNvPicPr>
                        </pic:nvPicPr>
                        <pic:blipFill>
                          <a:blip r:embed="rId459"/>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62"/>
        </w:tc>
      </w:tr>
    </w:tbl>
    <w:p>
      <w:pPr>
        <w:pStyle w:val="BodyText"/>
      </w:pPr>
      <w:bookmarkStart w:id="463"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63"/>
    </w:p>
    <w:p>
      <w:pPr>
        <w:pStyle w:val="FirstParagraph"/>
      </w:pPr>
      <w:bookmarkStart w:id="464"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64"/>
    </w:p>
    <w:bookmarkEnd w:id="465"/>
    <w:bookmarkStart w:id="466"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66"/>
    <w:bookmarkStart w:id="467"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67"/>
    <w:bookmarkStart w:id="468"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68"/>
    <w:bookmarkStart w:id="470"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69"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69"/>
    </w:p>
    <w:bookmarkEnd w:id="470"/>
    <w:bookmarkStart w:id="471"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71"/>
    <w:bookmarkEnd w:id="472"/>
    <w:bookmarkStart w:id="512"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73"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73"/>
    <w:bookmarkStart w:id="483"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77" w:name="fig-OscOpenLoopSchaltung"/>
          <w:p>
            <w:pPr>
              <w:pStyle w:val="Compact"/>
              <w:jc w:val="center"/>
            </w:pPr>
            <w:r>
              <w:drawing>
                <wp:inline>
                  <wp:extent cx="5334000" cy="3465364"/>
                  <wp:effectExtent b="0" l="0" r="0" t="0"/>
                  <wp:docPr descr="" title="" id="475" name="Picture"/>
                  <a:graphic>
                    <a:graphicData uri="http://schemas.openxmlformats.org/drawingml/2006/picture">
                      <pic:pic>
                        <pic:nvPicPr>
                          <pic:cNvPr descr="Projekte/Oszillator/OpenLoop.png" id="476" name="Picture"/>
                          <pic:cNvPicPr>
                            <a:picLocks noChangeArrowheads="1" noChangeAspect="1"/>
                          </pic:cNvPicPr>
                        </pic:nvPicPr>
                        <pic:blipFill>
                          <a:blip r:embed="rId474"/>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1" w:name="fig-OscOpenLoopSimulation"/>
          <w:p>
            <w:pPr>
              <w:pStyle w:val="Compact"/>
              <w:jc w:val="center"/>
            </w:pPr>
            <w:r>
              <w:drawing>
                <wp:inline>
                  <wp:extent cx="5334000" cy="3511874"/>
                  <wp:effectExtent b="0" l="0" r="0" t="0"/>
                  <wp:docPr descr="" title="" id="479" name="Picture"/>
                  <a:graphic>
                    <a:graphicData uri="http://schemas.openxmlformats.org/drawingml/2006/picture">
                      <pic:pic>
                        <pic:nvPicPr>
                          <pic:cNvPr descr="Projekte/Oszillator/RCOpenLoopBode.png" id="480" name="Picture"/>
                          <pic:cNvPicPr>
                            <a:picLocks noChangeArrowheads="1" noChangeAspect="1"/>
                          </pic:cNvPicPr>
                        </pic:nvPicPr>
                        <pic:blipFill>
                          <a:blip r:embed="rId478"/>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82"/>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83"/>
    <w:bookmarkStart w:id="496"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487" w:name="fig-OscClosedLoopSchaltung"/>
          <w:p>
            <w:pPr>
              <w:pStyle w:val="Compact"/>
              <w:jc w:val="center"/>
            </w:pPr>
            <w:r>
              <w:drawing>
                <wp:inline>
                  <wp:extent cx="5334000" cy="3415413"/>
                  <wp:effectExtent b="0" l="0" r="0" t="0"/>
                  <wp:docPr descr="" title="" id="485" name="Picture"/>
                  <a:graphic>
                    <a:graphicData uri="http://schemas.openxmlformats.org/drawingml/2006/picture">
                      <pic:pic>
                        <pic:nvPicPr>
                          <pic:cNvPr descr="Projekte/Oszillator/ClosedLoop.png" id="486" name="Picture"/>
                          <pic:cNvPicPr>
                            <a:picLocks noChangeArrowheads="1" noChangeAspect="1"/>
                          </pic:cNvPicPr>
                        </pic:nvPicPr>
                        <pic:blipFill>
                          <a:blip r:embed="rId484"/>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4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1" w:name="fig-OscClosedLoopSimulationStable"/>
          <w:p>
            <w:pPr>
              <w:pStyle w:val="Compact"/>
              <w:jc w:val="center"/>
            </w:pPr>
            <w:r>
              <w:drawing>
                <wp:inline>
                  <wp:extent cx="5334000" cy="3547042"/>
                  <wp:effectExtent b="0" l="0" r="0" t="0"/>
                  <wp:docPr descr="" title="" id="489" name="Picture"/>
                  <a:graphic>
                    <a:graphicData uri="http://schemas.openxmlformats.org/drawingml/2006/picture">
                      <pic:pic>
                        <pic:nvPicPr>
                          <pic:cNvPr descr="Projekte/Oszillator/RCClosedLoopTransStable.png" id="490" name="Picture"/>
                          <pic:cNvPicPr>
                            <a:picLocks noChangeArrowheads="1" noChangeAspect="1"/>
                          </pic:cNvPicPr>
                        </pic:nvPicPr>
                        <pic:blipFill>
                          <a:blip r:embed="rId488"/>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91"/>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5" w:name="fig-OscClosedLoopSimulationInstable"/>
          <w:p>
            <w:pPr>
              <w:pStyle w:val="Compact"/>
              <w:jc w:val="center"/>
            </w:pPr>
            <w:r>
              <w:drawing>
                <wp:inline>
                  <wp:extent cx="5334000" cy="3107330"/>
                  <wp:effectExtent b="0" l="0" r="0" t="0"/>
                  <wp:docPr descr="" title="" id="493" name="Picture"/>
                  <a:graphic>
                    <a:graphicData uri="http://schemas.openxmlformats.org/drawingml/2006/picture">
                      <pic:pic>
                        <pic:nvPicPr>
                          <pic:cNvPr descr="Projekte/Oszillator/RCClosedLoopTransInst.png" id="494" name="Picture"/>
                          <pic:cNvPicPr>
                            <a:picLocks noChangeArrowheads="1" noChangeAspect="1"/>
                          </pic:cNvPicPr>
                        </pic:nvPicPr>
                        <pic:blipFill>
                          <a:blip r:embed="rId492"/>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95"/>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496"/>
    <w:bookmarkStart w:id="497"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97"/>
    <w:bookmarkStart w:id="506"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501" w:name="fig-OscVCR"/>
          <w:p>
            <w:pPr>
              <w:pStyle w:val="Compact"/>
              <w:jc w:val="center"/>
            </w:pPr>
            <w:r>
              <w:drawing>
                <wp:inline>
                  <wp:extent cx="5334000" cy="5105166"/>
                  <wp:effectExtent b="0" l="0" r="0" t="0"/>
                  <wp:docPr descr="" title="" id="499" name="Picture"/>
                  <a:graphic>
                    <a:graphicData uri="http://schemas.openxmlformats.org/drawingml/2006/picture">
                      <pic:pic>
                        <pic:nvPicPr>
                          <pic:cNvPr descr="Projekte/Oszillator/PKanalVCR.png" id="500" name="Picture"/>
                          <pic:cNvPicPr>
                            <a:picLocks noChangeArrowheads="1" noChangeAspect="1"/>
                          </pic:cNvPicPr>
                        </pic:nvPicPr>
                        <pic:blipFill>
                          <a:blip r:embed="rId498"/>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5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5" w:name="fig-OscVCRDCSweep"/>
          <w:p>
            <w:pPr>
              <w:pStyle w:val="Compact"/>
              <w:jc w:val="center"/>
            </w:pPr>
            <w:r>
              <w:drawing>
                <wp:inline>
                  <wp:extent cx="5334000" cy="3181684"/>
                  <wp:effectExtent b="0" l="0" r="0" t="0"/>
                  <wp:docPr descr="" title="" id="503" name="Picture"/>
                  <a:graphic>
                    <a:graphicData uri="http://schemas.openxmlformats.org/drawingml/2006/picture">
                      <pic:pic>
                        <pic:nvPicPr>
                          <pic:cNvPr descr="Projekte/Oszillator/VCRDCSweep.png" id="504" name="Picture"/>
                          <pic:cNvPicPr>
                            <a:picLocks noChangeArrowheads="1" noChangeAspect="1"/>
                          </pic:cNvPicPr>
                        </pic:nvPicPr>
                        <pic:blipFill>
                          <a:blip r:embed="rId502"/>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505"/>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506"/>
    <w:bookmarkStart w:id="511"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510" w:name="fig-OscSchaltung"/>
          <w:p>
            <w:pPr>
              <w:pStyle w:val="Compact"/>
              <w:jc w:val="center"/>
            </w:pPr>
            <w:r>
              <w:drawing>
                <wp:inline>
                  <wp:extent cx="5334000" cy="6141554"/>
                  <wp:effectExtent b="0" l="0" r="0" t="0"/>
                  <wp:docPr descr="" title="" id="508" name="Picture"/>
                  <a:graphic>
                    <a:graphicData uri="http://schemas.openxmlformats.org/drawingml/2006/picture">
                      <pic:pic>
                        <pic:nvPicPr>
                          <pic:cNvPr descr="Projekte/Oszillator/OszillatorPKanal.png" id="509" name="Picture"/>
                          <pic:cNvPicPr>
                            <a:picLocks noChangeArrowheads="1" noChangeAspect="1"/>
                          </pic:cNvPicPr>
                        </pic:nvPicPr>
                        <pic:blipFill>
                          <a:blip r:embed="rId507"/>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510"/>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511"/>
    <w:bookmarkEnd w:id="512"/>
    <w:bookmarkEnd w:id="513"/>
    <w:bookmarkStart w:id="519" w:name="aufgabenstellung-1"/>
    <w:p>
      <w:pPr>
        <w:pStyle w:val="Heading2"/>
      </w:pPr>
      <w:r>
        <w:t xml:space="preserve">8.3 Aufgabenstellung</w:t>
      </w:r>
    </w:p>
    <w:p>
      <w:pPr>
        <w:pStyle w:val="FirstParagraph"/>
      </w:pPr>
      <w:r>
        <w:t xml:space="preserve">Hier werden einige Ideen für die Aufgabenstellung gegeben.</w:t>
      </w:r>
    </w:p>
    <w:bookmarkStart w:id="514"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514"/>
    <w:bookmarkStart w:id="515"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515"/>
    <w:bookmarkStart w:id="516"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516"/>
    <w:bookmarkStart w:id="517"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517"/>
    <w:bookmarkStart w:id="518"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518"/>
    <w:bookmarkEnd w:id="519"/>
    <w:bookmarkEnd w:id="520"/>
    <w:bookmarkStart w:id="541"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521">
        <w:r>
          <w:rPr>
            <w:rStyle w:val="Hyperlink"/>
          </w:rPr>
          <w:t xml:space="preserve">MIT OpenCourseWare Power Electronics</w:t>
        </w:r>
      </w:hyperlink>
      <w:r>
        <w:t xml:space="preserve">.</w:t>
      </w:r>
    </w:p>
    <w:bookmarkStart w:id="525"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522"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522"/>
    <w:bookmarkStart w:id="523"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523"/>
    <w:bookmarkStart w:id="524"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524"/>
    <w:bookmarkEnd w:id="525"/>
    <w:bookmarkStart w:id="539"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32"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529" w:name="fig-0404_Spannungsteiler"/>
          <w:p>
            <w:pPr>
              <w:pStyle w:val="Compact"/>
              <w:jc w:val="center"/>
            </w:pPr>
            <w:r>
              <w:drawing>
                <wp:inline>
                  <wp:extent cx="5313145" cy="5428648"/>
                  <wp:effectExtent b="0" l="0" r="0" t="0"/>
                  <wp:docPr descr="" title="" id="527" name="Picture"/>
                  <a:graphic>
                    <a:graphicData uri="http://schemas.openxmlformats.org/drawingml/2006/picture">
                      <pic:pic>
                        <pic:nvPicPr>
                          <pic:cNvPr descr="Projekte/BuckBoost/Spannungsteiler.png" id="528" name="Picture"/>
                          <pic:cNvPicPr>
                            <a:picLocks noChangeArrowheads="1" noChangeAspect="1"/>
                          </pic:cNvPicPr>
                        </pic:nvPicPr>
                        <pic:blipFill>
                          <a:blip r:embed="rId526"/>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529"/>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30"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30"/>
    </w:p>
    <w:p>
      <w:pPr>
        <w:pStyle w:val="FirstParagraph"/>
      </w:pPr>
      <w:bookmarkStart w:id="531"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31"/>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32"/>
    <w:bookmarkStart w:id="538"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33"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33"/>
    </w:p>
    <w:p>
      <w:pPr>
        <w:pStyle w:val="FirstParagraph"/>
      </w:pPr>
      <w:bookmarkStart w:id="534"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34"/>
    </w:p>
    <w:p>
      <w:pPr>
        <w:pStyle w:val="FirstParagraph"/>
      </w:pPr>
      <w:bookmarkStart w:id="535"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35"/>
    </w:p>
    <w:p>
      <w:pPr>
        <w:pStyle w:val="FirstParagraph"/>
      </w:pPr>
      <w:bookmarkStart w:id="536"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36"/>
    </w:p>
    <w:p>
      <w:pPr>
        <w:pStyle w:val="FirstParagraph"/>
      </w:pPr>
      <w:r>
        <w:t xml:space="preserve">Da der gesamte Eingangstrom durch die Last fließt sind die Ströme gleich und können gekürzt werden.</w:t>
      </w:r>
    </w:p>
    <w:p>
      <w:pPr>
        <w:pStyle w:val="BodyText"/>
      </w:pPr>
      <w:bookmarkStart w:id="537"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37"/>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38"/>
    <w:bookmarkEnd w:id="539"/>
    <w:bookmarkStart w:id="540"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40"/>
    <w:bookmarkEnd w:id="541"/>
    <w:bookmarkStart w:id="634"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45" w:name="fig-svf_sch"/>
          <w:p>
            <w:pPr>
              <w:pStyle w:val="Compact"/>
              <w:jc w:val="center"/>
            </w:pPr>
            <w:r>
              <w:drawing>
                <wp:inline>
                  <wp:extent cx="5334000" cy="2091928"/>
                  <wp:effectExtent b="0" l="0" r="0" t="0"/>
                  <wp:docPr descr="" title="" id="543" name="Picture"/>
                  <a:graphic>
                    <a:graphicData uri="http://schemas.openxmlformats.org/drawingml/2006/picture">
                      <pic:pic>
                        <pic:nvPicPr>
                          <pic:cNvPr descr="Projekte/SVF/SVF_Circuit.png" id="544" name="Picture"/>
                          <pic:cNvPicPr>
                            <a:picLocks noChangeArrowheads="1" noChangeAspect="1"/>
                          </pic:cNvPicPr>
                        </pic:nvPicPr>
                        <pic:blipFill>
                          <a:blip r:embed="rId542"/>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45"/>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633"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46" w:name="eq-AP"/>
      <m:oMathPara>
        <m:oMathParaPr>
          <m:jc m:val="center"/>
        </m:oMathParaPr>
        <m:oMath>
          <m:sSub>
            <m:e>
              <m:r>
                <m:t>A</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46"/>
    </w:p>
    <w:p>
      <w:pPr>
        <w:pStyle w:val="FirstParagraph"/>
      </w:pPr>
      <w:r>
        <w:t xml:space="preserve">Übertragungsfunktion Bandpassfilter:</w:t>
      </w:r>
    </w:p>
    <w:p>
      <w:pPr>
        <w:pStyle w:val="BodyText"/>
      </w:pPr>
      <w:bookmarkStart w:id="547" w:name="eq-BP"/>
      <m:oMathPara>
        <m:oMathParaPr>
          <m:jc m:val="center"/>
        </m:oMathParaPr>
        <m:oMath>
          <m:sSub>
            <m:e>
              <m:r>
                <m:t>A</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47"/>
    </w:p>
    <w:p>
      <w:pPr>
        <w:pStyle w:val="FirstParagraph"/>
      </w:pPr>
      <w:r>
        <w:t xml:space="preserve">Übertragungsfunktion Tiefpassfilter:</w:t>
      </w:r>
    </w:p>
    <w:p>
      <w:pPr>
        <w:pStyle w:val="BodyText"/>
      </w:pPr>
      <w:bookmarkStart w:id="548" w:name="eq-TP"/>
      <m:oMathPara>
        <m:oMathParaPr>
          <m:jc m:val="center"/>
        </m:oMathParaPr>
        <m:oMath>
          <m:sSub>
            <m:e>
              <m:r>
                <m:t>A</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48"/>
    </w:p>
    <w:p>
      <w:pPr>
        <w:pStyle w:val="FirstParagraph"/>
      </w:pPr>
      <w:r>
        <w:t xml:space="preserve">Übertragungsfunktion Bandsperrfilter:</w:t>
      </w:r>
    </w:p>
    <w:p>
      <w:pPr>
        <w:pStyle w:val="BodyText"/>
      </w:pPr>
      <w:bookmarkStart w:id="549" w:name="eq-BS"/>
      <m:oMathPara>
        <m:oMathParaPr>
          <m:jc m:val="center"/>
        </m:oMathParaPr>
        <m:oMath>
          <m:sSub>
            <m:e>
              <m:r>
                <m:t>A</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49"/>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78"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53" w:name="fig-Eingangssummierer"/>
          <w:p>
            <w:pPr>
              <w:pStyle w:val="Compact"/>
              <w:jc w:val="center"/>
            </w:pPr>
            <w:r>
              <w:drawing>
                <wp:inline>
                  <wp:extent cx="5334000" cy="3938763"/>
                  <wp:effectExtent b="0" l="0" r="0" t="0"/>
                  <wp:docPr descr="" title="" id="551" name="Picture"/>
                  <a:graphic>
                    <a:graphicData uri="http://schemas.openxmlformats.org/drawingml/2006/picture">
                      <pic:pic>
                        <pic:nvPicPr>
                          <pic:cNvPr descr="Projekte/SVF/Eingangssummierer.png" id="552" name="Picture"/>
                          <pic:cNvPicPr>
                            <a:picLocks noChangeArrowheads="1" noChangeAspect="1"/>
                          </pic:cNvPicPr>
                        </pic:nvPicPr>
                        <pic:blipFill>
                          <a:blip r:embed="rId550"/>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53"/>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A</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54"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54"/>
    </w:p>
    <w:p>
      <w:pPr>
        <w:pStyle w:val="FirstParagraph"/>
      </w:pPr>
      <w:r>
        <w:t xml:space="preserve">Maschengleichung 2:</w:t>
      </w:r>
    </w:p>
    <w:p>
      <w:pPr>
        <w:pStyle w:val="BodyText"/>
      </w:pPr>
      <w:bookmarkStart w:id="555"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55"/>
    </w:p>
    <w:p>
      <w:pPr>
        <w:pStyle w:val="FirstParagraph"/>
      </w:pPr>
      <w:r>
        <w:t xml:space="preserve">Maschengleichung 3:</w:t>
      </w:r>
    </w:p>
    <w:p>
      <w:pPr>
        <w:pStyle w:val="BodyText"/>
      </w:pPr>
      <w:bookmarkStart w:id="556"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56"/>
    </w:p>
    <w:p>
      <w:pPr>
        <w:pStyle w:val="FirstParagraph"/>
      </w:pPr>
      <w:r>
        <w:t xml:space="preserve">Knotengleichung 1:</w:t>
      </w:r>
    </w:p>
    <w:p>
      <w:pPr>
        <w:pStyle w:val="BodyText"/>
      </w:pPr>
      <w:bookmarkStart w:id="557"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57"/>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58"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58"/>
    </w:p>
    <w:p>
      <w:pPr>
        <w:pStyle w:val="FirstParagraph"/>
      </w:pPr>
      <w:bookmarkStart w:id="559"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59"/>
    </w:p>
    <w:p>
      <w:pPr>
        <w:pStyle w:val="FirstParagraph"/>
      </w:pPr>
      <w:bookmarkStart w:id="560"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60"/>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61"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61"/>
    </w:p>
    <w:p>
      <w:pPr>
        <w:pStyle w:val="FirstParagraph"/>
      </w:pPr>
      <w:r>
        <w:t xml:space="preserve">Da die OPV Schaltung als ideal angenommen wird, gilt:</w:t>
      </w:r>
    </w:p>
    <w:p>
      <w:pPr>
        <w:pStyle w:val="BodyText"/>
      </w:pPr>
      <w:bookmarkStart w:id="562"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62"/>
    </w:p>
    <w:p>
      <w:pPr>
        <w:pStyle w:val="FirstParagraph"/>
      </w:pPr>
      <w:r>
        <w:t xml:space="preserve">damit vereinfacht sich die Gleichung zu:</w:t>
      </w:r>
    </w:p>
    <w:p>
      <w:pPr>
        <w:pStyle w:val="BodyText"/>
      </w:pPr>
      <w:bookmarkStart w:id="563"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63"/>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64"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64"/>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65"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65"/>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66"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66"/>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67"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67"/>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68"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68"/>
    </w:p>
    <w:p>
      <w:pPr>
        <w:pStyle w:val="FirstParagraph"/>
      </w:pPr>
      <w:bookmarkStart w:id="569"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69"/>
    </w:p>
    <w:p>
      <w:pPr>
        <w:pStyle w:val="FirstParagraph"/>
      </w:pPr>
      <w:bookmarkStart w:id="570"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70"/>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71"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71"/>
    </w:p>
    <w:p>
      <w:pPr>
        <w:pStyle w:val="FirstParagraph"/>
      </w:pPr>
      <w:r>
        <w:t xml:space="preserve">Die Gleichung wird nun nach</w:t>
      </w:r>
      <w:r>
        <w:t xml:space="preserve"> </w:t>
      </w:r>
      <m:oMath>
        <m:sSub>
          <m:e>
            <m:r>
              <m:t>U</m:t>
            </m:r>
          </m:e>
          <m:sub>
            <m:r>
              <m:t>H</m:t>
            </m:r>
            <m:r>
              <m:t>P</m:t>
            </m:r>
          </m:sub>
        </m:sSub>
      </m:oMath>
      <w:r>
        <w:t xml:space="preserve"> </w:t>
      </w:r>
      <w:r>
        <w:t xml:space="preserve">umgestellt:</w:t>
      </w:r>
    </w:p>
    <w:p>
      <w:pPr>
        <w:pStyle w:val="BodyText"/>
      </w:pPr>
      <w:bookmarkStart w:id="572"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72"/>
    </w:p>
    <w:p>
      <w:pPr>
        <w:pStyle w:val="FirstParagraph"/>
      </w:pPr>
      <w:r>
        <w:t xml:space="preserve">Nun muss nur noch</w:t>
      </w:r>
      <w:r>
        <w:t xml:space="preserve"> </w:t>
      </w:r>
      <m:oMath>
        <m:sSub>
          <m:e>
            <m:r>
              <m:t>U</m:t>
            </m:r>
          </m:e>
          <m:sub>
            <m:r>
              <m:t>x</m:t>
            </m:r>
          </m:sub>
        </m:sSub>
      </m:oMath>
      <w:r>
        <w:t xml:space="preserve"> </w:t>
      </w:r>
      <w:r>
        <w:t xml:space="preserve">durch bekannte Größen ausgedrückt werden. Dabei gilt es den Spannungsteiler am Potentiometer zu berechnen.</w:t>
      </w:r>
    </w:p>
    <w:p>
      <w:pPr>
        <w:pStyle w:val="BodyText"/>
      </w:pPr>
      <w:bookmarkStart w:id="573"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73"/>
    </w:p>
    <w:p>
      <w:pPr>
        <w:pStyle w:val="FirstParagraph"/>
      </w:pPr>
      <w:bookmarkStart w:id="574"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74"/>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75"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75"/>
    </w:p>
    <w:p>
      <w:pPr>
        <w:pStyle w:val="FirstParagraph"/>
      </w:pPr>
      <w:r>
        <w:t xml:space="preserve">Der Ausdruck</w:t>
      </w:r>
      <w:r>
        <w:t xml:space="preserve"> </w:t>
      </w:r>
      <m:oMath>
        <m:r>
          <m:t>3</m:t>
        </m:r>
        <m:r>
          <m:t>x</m:t>
        </m:r>
      </m:oMath>
      <w:r>
        <w:t xml:space="preserve"> </w:t>
      </w:r>
      <w:r>
        <w:t xml:space="preserve">wird noch durch die Güte</w:t>
      </w:r>
      <w:r>
        <w:t xml:space="preserve"> </w:t>
      </w:r>
      <m:oMath>
        <m:r>
          <m:t>1</m:t>
        </m:r>
        <m:r>
          <m:rPr>
            <m:sty m:val="p"/>
          </m:rPr>
          <m:t>/</m:t>
        </m:r>
        <m:r>
          <m:t>Q</m:t>
        </m:r>
      </m:oMath>
      <w:r>
        <w:t xml:space="preserve"> </w:t>
      </w:r>
      <w:r>
        <w:t xml:space="preserve">ersetzt:</w:t>
      </w:r>
    </w:p>
    <w:p>
      <w:pPr>
        <w:pStyle w:val="BodyText"/>
      </w:pPr>
      <w:bookmarkStart w:id="576" w:name="eq-Q"/>
      <m:oMathPara>
        <m:oMathParaPr>
          <m:jc m:val="center"/>
        </m:oMathParaPr>
        <m:oMath>
          <m:f>
            <m:fPr>
              <m:type m:val="bar"/>
            </m:fPr>
            <m:num>
              <m:r>
                <m:t>1</m:t>
              </m:r>
            </m:num>
            <m:den>
              <m:r>
                <m:t>Q</m:t>
              </m:r>
            </m:den>
          </m:f>
          <m:r>
            <m:rPr>
              <m:sty m:val="p"/>
            </m:rPr>
            <m:t>=</m:t>
          </m:r>
          <m:r>
            <m:t>3</m:t>
          </m:r>
          <m:r>
            <m:t>x</m:t>
          </m:r>
          <m:r>
            <m:t>  </m:t>
          </m:r>
          <m:d>
            <m:dPr>
              <m:begChr m:val="("/>
              <m:sepChr m:val=""/>
              <m:endChr m:val=")"/>
              <m:grow/>
            </m:dPr>
            <m:e>
              <m:r>
                <m:t>10.27</m:t>
              </m:r>
            </m:e>
          </m:d>
        </m:oMath>
      </m:oMathPara>
      <w:bookmarkEnd w:id="576"/>
    </w:p>
    <w:p>
      <w:pPr>
        <w:pStyle w:val="FirstParagraph"/>
      </w:pPr>
      <w:bookmarkStart w:id="577" w:name="eq-UHP-3"/>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f>
            <m:fPr>
              <m:type m:val="bar"/>
            </m:fPr>
            <m:num>
              <m:sSub>
                <m:e>
                  <m:r>
                    <m:t>U</m:t>
                  </m:r>
                </m:e>
                <m:sub>
                  <m:r>
                    <m:t>B</m:t>
                  </m:r>
                  <m:r>
                    <m:t>P</m:t>
                  </m:r>
                </m:sub>
              </m:sSub>
            </m:num>
            <m:den>
              <m:r>
                <m:t>Q</m:t>
              </m:r>
            </m:den>
          </m:f>
          <m:r>
            <m:t>  </m:t>
          </m:r>
          <m:d>
            <m:dPr>
              <m:begChr m:val="("/>
              <m:sepChr m:val=""/>
              <m:endChr m:val=")"/>
              <m:grow/>
            </m:dPr>
            <m:e>
              <m:r>
                <m:t>10.28</m:t>
              </m:r>
            </m:e>
          </m:d>
        </m:oMath>
      </m:oMathPara>
      <w:bookmarkEnd w:id="577"/>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End w:id="578"/>
    <w:bookmarkStart w:id="596" w:name="integrierer-zweite-stufe"/>
    <w:p>
      <w:pPr>
        <w:pStyle w:val="Heading3"/>
      </w:pPr>
      <w:r>
        <w:t xml:space="preserve">10.1.2 Integrierer Zweite Stufe</w:t>
      </w:r>
    </w:p>
    <w:p>
      <w:pPr>
        <w:pStyle w:val="FirstParagraph"/>
      </w:pPr>
      <w:r>
        <w:t xml:space="preserve">Der zweite Operationsverstärker in der Schaltung fungiert als Integrierer.</w:t>
      </w:r>
    </w:p>
    <w:tbl>
      <w:tblPr>
        <w:tblStyle w:val="Table"/>
        <w:tblW w:type="pct" w:w="5000"/>
        <w:tblLayout w:type="fixed"/>
        <w:tblLook w:firstRow="0" w:lastRow="0" w:firstColumn="0" w:lastColumn="0" w:noHBand="0" w:noVBand="0" w:val="0000"/>
      </w:tblPr>
      <w:tblGrid>
        <w:gridCol w:w="7920"/>
      </w:tblGrid>
      <w:tr>
        <w:tc>
          <w:tcPr/>
          <w:bookmarkStart w:id="582" w:name="fig-Integrierer1"/>
          <w:p>
            <w:pPr>
              <w:pStyle w:val="Compact"/>
              <w:jc w:val="center"/>
            </w:pPr>
            <w:r>
              <w:drawing>
                <wp:inline>
                  <wp:extent cx="5334000" cy="4088252"/>
                  <wp:effectExtent b="0" l="0" r="0" t="0"/>
                  <wp:docPr descr="" title="" id="580" name="Picture"/>
                  <a:graphic>
                    <a:graphicData uri="http://schemas.openxmlformats.org/drawingml/2006/picture">
                      <pic:pic>
                        <pic:nvPicPr>
                          <pic:cNvPr descr="Projekte/SVF/Integrierer_1.png" id="581" name="Picture"/>
                          <pic:cNvPicPr>
                            <a:picLocks noChangeArrowheads="1" noChangeAspect="1"/>
                          </pic:cNvPicPr>
                        </pic:nvPicPr>
                        <pic:blipFill>
                          <a:blip r:embed="rId579"/>
                          <a:stretch>
                            <a:fillRect/>
                          </a:stretch>
                        </pic:blipFill>
                        <pic:spPr bwMode="auto">
                          <a:xfrm>
                            <a:off x="0" y="0"/>
                            <a:ext cx="5334000" cy="40882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10.3: Integrierer Zweite Stufe</w:t>
            </w:r>
          </w:p>
          <w:bookmarkEnd w:id="582"/>
        </w:tc>
      </w:tr>
    </w:tbl>
    <w:p>
      <w:pPr>
        <w:pStyle w:val="BodyText"/>
      </w:pPr>
      <w:r>
        <w:t xml:space="preserve">Das Ziel ist es die Übertragungsfunktion des Integrierers zu ermitteln. Also das Verhältnis von Ausgangsspannung</w:t>
      </w:r>
      <w:r>
        <w:t xml:space="preserve"> </w:t>
      </w:r>
      <m:oMath>
        <m:sSub>
          <m:e>
            <m:r>
              <m:t>U</m:t>
            </m:r>
          </m:e>
          <m:sub>
            <m:r>
              <m:t>B</m:t>
            </m:r>
            <m:r>
              <m:t>P</m:t>
            </m:r>
          </m:sub>
        </m:sSub>
      </m:oMath>
      <w:r>
        <w:t xml:space="preserve"> </w:t>
      </w:r>
      <w:r>
        <w:t xml:space="preserve">zu Eingangsspannung</w:t>
      </w:r>
      <w:r>
        <w:t xml:space="preserve"> </w:t>
      </w:r>
      <m:oMath>
        <m:sSub>
          <m:e>
            <m:r>
              <m:t>U</m:t>
            </m:r>
          </m:e>
          <m:sub>
            <m:r>
              <m:t>H</m:t>
            </m:r>
            <m:r>
              <m:t>P</m:t>
            </m:r>
          </m:sub>
        </m:sSub>
      </m:oMath>
      <w:r>
        <w:t xml:space="preserve">. Als bekannt wird die Spannung</w:t>
      </w:r>
      <w:r>
        <w:t xml:space="preserve"> </w:t>
      </w:r>
      <m:oMath>
        <m:sSub>
          <m:e>
            <m:r>
              <m:t>U</m:t>
            </m:r>
          </m:e>
          <m:sub>
            <m:r>
              <m:t>H</m:t>
            </m:r>
            <m:r>
              <m:t>P</m:t>
            </m:r>
          </m:sub>
        </m:sSub>
      </m:oMath>
      <w:r>
        <w:t xml:space="preserve"> </w:t>
      </w:r>
      <w:r>
        <w:t xml:space="preserve">angenommen.</w:t>
      </w:r>
    </w:p>
    <w:p>
      <w:pPr>
        <w:pStyle w:val="BodyText"/>
      </w:pPr>
      <w:r>
        <w:t xml:space="preserve">Auch hier wird die Übertragungsfunktion hergeleitet.</w:t>
      </w:r>
    </w:p>
    <w:p>
      <w:pPr>
        <w:pStyle w:val="BodyText"/>
      </w:pPr>
      <w:r>
        <w:t xml:space="preserve">Maschengleichung 1:</w:t>
      </w:r>
    </w:p>
    <w:p>
      <w:pPr>
        <w:pStyle w:val="BodyText"/>
      </w:pPr>
      <w:bookmarkStart w:id="583" w:name="eq-M1-I1"/>
      <m:oMathPara>
        <m:oMathParaPr>
          <m:jc m:val="center"/>
        </m:oMathParaPr>
        <m:oMath>
          <m:r>
            <m:t>0</m:t>
          </m:r>
          <m:r>
            <m:rPr>
              <m:sty m:val="p"/>
            </m:rPr>
            <m:t>=</m:t>
          </m:r>
          <m:r>
            <m:rPr>
              <m:sty m:val="p"/>
            </m:rPr>
            <m:t>−</m:t>
          </m:r>
          <m:sSub>
            <m:e>
              <m:r>
                <m:t>U</m:t>
              </m:r>
            </m:e>
            <m:sub>
              <m:r>
                <m:t>H</m:t>
              </m:r>
              <m:r>
                <m:t>P</m:t>
              </m:r>
            </m:sub>
          </m:sSub>
          <m:r>
            <m:rPr>
              <m:sty m:val="p"/>
            </m:rPr>
            <m:t>+</m:t>
          </m:r>
          <m:sSub>
            <m:e>
              <m:r>
                <m:t>U</m:t>
              </m:r>
            </m:e>
            <m:sub>
              <m:r>
                <m:t>R</m:t>
              </m:r>
            </m:sub>
          </m:sSub>
          <m:r>
            <m:rPr>
              <m:sty m:val="p"/>
            </m:rPr>
            <m:t>+</m:t>
          </m:r>
          <m:sSub>
            <m:e>
              <m:r>
                <m:t>U</m:t>
              </m:r>
            </m:e>
            <m:sub>
              <m:r>
                <m:t>d</m:t>
              </m:r>
            </m:sub>
          </m:sSub>
          <m:r>
            <m:t>  </m:t>
          </m:r>
          <m:d>
            <m:dPr>
              <m:begChr m:val="("/>
              <m:sepChr m:val=""/>
              <m:endChr m:val=")"/>
              <m:grow/>
            </m:dPr>
            <m:e>
              <m:r>
                <m:t>10.29</m:t>
              </m:r>
            </m:e>
          </m:d>
        </m:oMath>
      </m:oMathPara>
      <w:bookmarkEnd w:id="583"/>
    </w:p>
    <w:p>
      <w:pPr>
        <w:pStyle w:val="FirstParagraph"/>
      </w:pPr>
      <w:r>
        <w:t xml:space="preserve">Maschengleichung 2:</w:t>
      </w:r>
    </w:p>
    <w:p>
      <w:pPr>
        <w:pStyle w:val="BodyText"/>
      </w:pPr>
      <w:bookmarkStart w:id="584" w:name="eq-M2-I1"/>
      <m:oMathPara>
        <m:oMathParaPr>
          <m:jc m:val="center"/>
        </m:oMathParaPr>
        <m:oMath>
          <m:r>
            <m:t>0</m:t>
          </m:r>
          <m:r>
            <m:rPr>
              <m:sty m:val="p"/>
            </m:rPr>
            <m:t>=</m:t>
          </m:r>
          <m:r>
            <m:rPr>
              <m:sty m:val="p"/>
            </m:rPr>
            <m:t>−</m:t>
          </m:r>
          <m:sSub>
            <m:e>
              <m:r>
                <m:t>U</m:t>
              </m:r>
            </m:e>
            <m:sub>
              <m:r>
                <m:t>B</m:t>
              </m:r>
              <m:r>
                <m:t>P</m:t>
              </m:r>
            </m:sub>
          </m:sSub>
          <m:r>
            <m:rPr>
              <m:sty m:val="p"/>
            </m:rPr>
            <m:t>+</m:t>
          </m:r>
          <m:sSub>
            <m:e>
              <m:r>
                <m:t>U</m:t>
              </m:r>
            </m:e>
            <m:sub>
              <m:r>
                <m:t>C</m:t>
              </m:r>
            </m:sub>
          </m:sSub>
          <m:r>
            <m:rPr>
              <m:sty m:val="p"/>
            </m:rPr>
            <m:t>+</m:t>
          </m:r>
          <m:sSub>
            <m:e>
              <m:r>
                <m:t>U</m:t>
              </m:r>
            </m:e>
            <m:sub>
              <m:r>
                <m:t>d</m:t>
              </m:r>
            </m:sub>
          </m:sSub>
          <m:r>
            <m:t>  </m:t>
          </m:r>
          <m:d>
            <m:dPr>
              <m:begChr m:val="("/>
              <m:sepChr m:val=""/>
              <m:endChr m:val=")"/>
              <m:grow/>
            </m:dPr>
            <m:e>
              <m:r>
                <m:t>10.30</m:t>
              </m:r>
            </m:e>
          </m:d>
        </m:oMath>
      </m:oMathPara>
      <w:bookmarkEnd w:id="584"/>
    </w:p>
    <w:p>
      <w:pPr>
        <w:pStyle w:val="FirstParagraph"/>
      </w:pPr>
      <w:r>
        <w:t xml:space="preserve">Knotengleichung 1:</w:t>
      </w:r>
    </w:p>
    <w:p>
      <w:pPr>
        <w:pStyle w:val="BodyText"/>
      </w:pPr>
      <w:bookmarkStart w:id="585" w:name="eq-K1-I1"/>
      <m:oMathPara>
        <m:oMathParaPr>
          <m:jc m:val="center"/>
        </m:oMathParaPr>
        <m:oMath>
          <m:r>
            <m:t>0</m:t>
          </m:r>
          <m:r>
            <m:rPr>
              <m:sty m:val="p"/>
            </m:rPr>
            <m:t>=</m:t>
          </m:r>
          <m:sSub>
            <m:e>
              <m:r>
                <m:t>I</m:t>
              </m:r>
            </m:e>
            <m:sub>
              <m:r>
                <m:t>C</m:t>
              </m:r>
            </m:sub>
          </m:sSub>
          <m:r>
            <m:rPr>
              <m:sty m:val="p"/>
            </m:rPr>
            <m:t>+</m:t>
          </m:r>
          <m:sSub>
            <m:e>
              <m:r>
                <m:t>I</m:t>
              </m:r>
            </m:e>
            <m:sub>
              <m:r>
                <m:t>R</m:t>
              </m:r>
            </m:sub>
          </m:sSub>
          <m:r>
            <m:t>  </m:t>
          </m:r>
          <m:d>
            <m:dPr>
              <m:begChr m:val="("/>
              <m:sepChr m:val=""/>
              <m:endChr m:val=")"/>
              <m:grow/>
            </m:dPr>
            <m:e>
              <m:r>
                <m:t>10.31</m:t>
              </m:r>
            </m:e>
          </m:d>
        </m:oMath>
      </m:oMathPara>
      <w:bookmarkEnd w:id="585"/>
    </w:p>
    <w:p>
      <w:pPr>
        <w:pStyle w:val="FirstParagraph"/>
      </w:pPr>
      <w:r>
        <w:t xml:space="preserve">Es wird wieder in den Knoten</w:t>
      </w:r>
      <w:r>
        <w:t xml:space="preserve"> </w:t>
      </w:r>
      <m:oMath>
        <m:r>
          <m:t>K</m:t>
        </m:r>
        <m:r>
          <m:t>1</m:t>
        </m:r>
      </m:oMath>
      <w:r>
        <w:t xml:space="preserve"> </w:t>
      </w:r>
      <w:r>
        <w:t xml:space="preserve">eingesetzt. Daher werden Ausdrücke für die Ströme gesucht. Diese können mit dem Ohmschen Gesetz und der Definition des Kondensators ermittelt werden.</w:t>
      </w:r>
    </w:p>
    <w:p>
      <w:pPr>
        <w:pStyle w:val="BodyText"/>
      </w:pPr>
      <w:bookmarkStart w:id="586" w:name="eq-IR"/>
      <m:oMathPara>
        <m:oMathParaPr>
          <m:jc m:val="center"/>
        </m:oMathParaPr>
        <m:oMath>
          <m:sSub>
            <m:e>
              <m:r>
                <m:t>I</m:t>
              </m:r>
            </m:e>
            <m:sub>
              <m:r>
                <m:t>R</m:t>
              </m:r>
            </m:sub>
          </m:sSub>
          <m:r>
            <m:rPr>
              <m:sty m:val="p"/>
            </m:rPr>
            <m:t>=</m:t>
          </m:r>
          <m:f>
            <m:fPr>
              <m:type m:val="bar"/>
            </m:fPr>
            <m:num>
              <m:sSub>
                <m:e>
                  <m:r>
                    <m:t>U</m:t>
                  </m:r>
                </m:e>
                <m:sub>
                  <m:r>
                    <m:t>R</m:t>
                  </m:r>
                </m:sub>
              </m:sSub>
            </m:num>
            <m:den>
              <m:sSub>
                <m:e>
                  <m:r>
                    <m:t>R</m:t>
                  </m:r>
                </m:e>
                <m:sub>
                  <m:r>
                    <m:t>n</m:t>
                  </m:r>
                </m:sub>
              </m:sSub>
            </m:den>
          </m:f>
          <m:r>
            <m:t>  </m:t>
          </m:r>
          <m:d>
            <m:dPr>
              <m:begChr m:val="("/>
              <m:sepChr m:val=""/>
              <m:endChr m:val=")"/>
              <m:grow/>
            </m:dPr>
            <m:e>
              <m:r>
                <m:t>10.32</m:t>
              </m:r>
            </m:e>
          </m:d>
        </m:oMath>
      </m:oMathPara>
      <w:bookmarkEnd w:id="586"/>
    </w:p>
    <w:p>
      <w:pPr>
        <w:pStyle w:val="FirstParagraph"/>
      </w:pPr>
      <w:bookmarkStart w:id="587" w:name="eq-IC"/>
      <m:oMathPara>
        <m:oMathParaPr>
          <m:jc m:val="center"/>
        </m:oMathParaPr>
        <m:oMath>
          <m:sSub>
            <m:e>
              <m:r>
                <m:t>I</m:t>
              </m:r>
            </m:e>
            <m:sub>
              <m:r>
                <m:t>C</m:t>
              </m:r>
            </m:sub>
          </m:sSub>
          <m:r>
            <m:rPr>
              <m:sty m:val="p"/>
            </m:rPr>
            <m:t>=</m:t>
          </m:r>
          <m:r>
            <m:t>i</m:t>
          </m:r>
          <m:r>
            <m:t>C</m:t>
          </m:r>
          <m:sSub>
            <m:e>
              <m:r>
                <m:t>U</m:t>
              </m:r>
            </m:e>
            <m:sub>
              <m:r>
                <m:t>C</m:t>
              </m:r>
            </m:sub>
          </m:sSub>
          <m:r>
            <m:t>ω</m:t>
          </m:r>
          <m:r>
            <m:t>  </m:t>
          </m:r>
          <m:d>
            <m:dPr>
              <m:begChr m:val="("/>
              <m:sepChr m:val=""/>
              <m:endChr m:val=")"/>
              <m:grow/>
            </m:dPr>
            <m:e>
              <m:r>
                <m:t>10.33</m:t>
              </m:r>
            </m:e>
          </m:d>
        </m:oMath>
      </m:oMathPara>
      <w:bookmarkEnd w:id="587"/>
    </w:p>
    <w:p>
      <w:pPr>
        <w:pStyle w:val="FirstParagraph"/>
      </w:pPr>
      <w:r>
        <w:t xml:space="preserve">Die Spannungen</w:t>
      </w:r>
      <w:r>
        <w:t xml:space="preserve"> </w:t>
      </w:r>
      <m:oMath>
        <m:sSub>
          <m:e>
            <m:r>
              <m:t>U</m:t>
            </m:r>
          </m:e>
          <m:sub>
            <m:r>
              <m:t>R</m:t>
            </m:r>
          </m:sub>
        </m:sSub>
      </m:oMath>
      <w:r>
        <w:t xml:space="preserve"> </w:t>
      </w:r>
      <w:r>
        <w:t xml:space="preserve">und</w:t>
      </w:r>
      <w:r>
        <w:t xml:space="preserve"> </w:t>
      </w:r>
      <m:oMath>
        <m:sSub>
          <m:e>
            <m:r>
              <m:t>U</m:t>
            </m:r>
          </m:e>
          <m:sub>
            <m:r>
              <m:t>C</m:t>
            </m:r>
          </m:sub>
        </m:sSub>
      </m:oMath>
      <w:r>
        <w:t xml:space="preserve"> </w:t>
      </w:r>
      <w:r>
        <w:t xml:space="preserve">werden aus den Maschengleichungen ausgedrückt. Wobei die Offsetspannung</w:t>
      </w:r>
      <w:r>
        <w:t xml:space="preserve"> </w:t>
      </w:r>
      <m:oMath>
        <m:sSub>
          <m:e>
            <m:r>
              <m:t>U</m:t>
            </m:r>
          </m:e>
          <m:sub>
            <m:r>
              <m:t>d</m:t>
            </m:r>
          </m:sub>
        </m:sSub>
      </m:oMath>
      <w:r>
        <w:t xml:space="preserve"> </w:t>
      </w:r>
      <w:r>
        <w:t xml:space="preserve">wieder als Null angenommen wird.</w:t>
      </w:r>
    </w:p>
    <w:p>
      <w:pPr>
        <w:pStyle w:val="BodyText"/>
      </w:pPr>
      <w:bookmarkStart w:id="588" w:name="eq-UR"/>
      <m:oMathPara>
        <m:oMathParaPr>
          <m:jc m:val="center"/>
        </m:oMathParaPr>
        <m:oMath>
          <m:sSub>
            <m:e>
              <m:r>
                <m:t>U</m:t>
              </m:r>
            </m:e>
            <m:sub>
              <m:r>
                <m:t>R</m:t>
              </m:r>
            </m:sub>
          </m:sSub>
          <m:r>
            <m:rPr>
              <m:sty m:val="p"/>
            </m:rPr>
            <m:t>=</m:t>
          </m:r>
          <m:sSub>
            <m:e>
              <m:r>
                <m:t>U</m:t>
              </m:r>
            </m:e>
            <m:sub>
              <m:r>
                <m:t>H</m:t>
              </m:r>
              <m:r>
                <m:t>P</m:t>
              </m:r>
            </m:sub>
          </m:sSub>
          <m:r>
            <m:t>  </m:t>
          </m:r>
          <m:d>
            <m:dPr>
              <m:begChr m:val="("/>
              <m:sepChr m:val=""/>
              <m:endChr m:val=")"/>
              <m:grow/>
            </m:dPr>
            <m:e>
              <m:r>
                <m:t>10.34</m:t>
              </m:r>
            </m:e>
          </m:d>
        </m:oMath>
      </m:oMathPara>
      <w:bookmarkEnd w:id="588"/>
    </w:p>
    <w:p>
      <w:pPr>
        <w:pStyle w:val="FirstParagraph"/>
      </w:pPr>
      <w:bookmarkStart w:id="589" w:name="eq-UC"/>
      <m:oMathPara>
        <m:oMathParaPr>
          <m:jc m:val="center"/>
        </m:oMathParaPr>
        <m:oMath>
          <m:sSub>
            <m:e>
              <m:r>
                <m:t>U</m:t>
              </m:r>
            </m:e>
            <m:sub>
              <m:r>
                <m:t>C</m:t>
              </m:r>
            </m:sub>
          </m:sSub>
          <m:r>
            <m:rPr>
              <m:sty m:val="p"/>
            </m:rPr>
            <m:t>=</m:t>
          </m:r>
          <m:sSub>
            <m:e>
              <m:r>
                <m:t>U</m:t>
              </m:r>
            </m:e>
            <m:sub>
              <m:r>
                <m:t>B</m:t>
              </m:r>
              <m:r>
                <m:t>P</m:t>
              </m:r>
            </m:sub>
          </m:sSub>
          <m:r>
            <m:t>  </m:t>
          </m:r>
          <m:d>
            <m:dPr>
              <m:begChr m:val="("/>
              <m:sepChr m:val=""/>
              <m:endChr m:val=")"/>
              <m:grow/>
            </m:dPr>
            <m:e>
              <m:r>
                <m:t>10.35</m:t>
              </m:r>
            </m:e>
          </m:d>
        </m:oMath>
      </m:oMathPara>
      <w:bookmarkEnd w:id="589"/>
    </w:p>
    <w:p>
      <w:pPr>
        <w:pStyle w:val="FirstParagraph"/>
      </w:pPr>
      <w:r>
        <w:t xml:space="preserve">Damit ergeben sich für die Ströme folgende AUsdrücke:</w:t>
      </w:r>
    </w:p>
    <w:p>
      <w:pPr>
        <w:pStyle w:val="BodyText"/>
      </w:pPr>
      <w:bookmarkStart w:id="590" w:name="eq-IR-2"/>
      <m:oMathPara>
        <m:oMathParaPr>
          <m:jc m:val="center"/>
        </m:oMathParaPr>
        <m:oMath>
          <m:sSub>
            <m:e>
              <m:r>
                <m:t>I</m:t>
              </m:r>
            </m:e>
            <m:sub>
              <m:r>
                <m:t>R</m:t>
              </m:r>
            </m:sub>
          </m:sSub>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10.36</m:t>
              </m:r>
            </m:e>
          </m:d>
        </m:oMath>
      </m:oMathPara>
      <w:bookmarkEnd w:id="590"/>
    </w:p>
    <w:p>
      <w:pPr>
        <w:pStyle w:val="FirstParagraph"/>
      </w:pPr>
      <w:bookmarkStart w:id="591" w:name="eq-IC-2"/>
      <m:oMathPara>
        <m:oMathParaPr>
          <m:jc m:val="center"/>
        </m:oMathParaPr>
        <m:oMath>
          <m:sSub>
            <m:e>
              <m:r>
                <m:t>I</m:t>
              </m:r>
            </m:e>
            <m:sub>
              <m:r>
                <m:t>C</m:t>
              </m:r>
            </m:sub>
          </m:sSub>
          <m:r>
            <m:rPr>
              <m:sty m:val="p"/>
            </m:rPr>
            <m:t>=</m:t>
          </m:r>
          <m:r>
            <m:t>i</m:t>
          </m:r>
          <m:r>
            <m:t>C</m:t>
          </m:r>
          <m:sSub>
            <m:e>
              <m:r>
                <m:t>U</m:t>
              </m:r>
            </m:e>
            <m:sub>
              <m:r>
                <m:t>B</m:t>
              </m:r>
              <m:r>
                <m:t>P</m:t>
              </m:r>
            </m:sub>
          </m:sSub>
          <m:r>
            <m:t>ω</m:t>
          </m:r>
          <m:r>
            <m:t>  </m:t>
          </m:r>
          <m:d>
            <m:dPr>
              <m:begChr m:val="("/>
              <m:sepChr m:val=""/>
              <m:endChr m:val=")"/>
              <m:grow/>
            </m:dPr>
            <m:e>
              <m:r>
                <m:t>10.37</m:t>
              </m:r>
            </m:e>
          </m:d>
        </m:oMath>
      </m:oMathPara>
      <w:bookmarkEnd w:id="591"/>
    </w:p>
    <w:p>
      <w:pPr>
        <w:pStyle w:val="FirstParagraph"/>
      </w:pPr>
      <w:r>
        <w:t xml:space="preserve">Nun können die Ströme in die Knotengleichung</w:t>
      </w:r>
      <w:r>
        <w:t xml:space="preserve"> </w:t>
      </w:r>
      <w:hyperlink w:anchor="eq-K1-I1">
        <w:r>
          <w:rPr>
            <w:rStyle w:val="Hyperlink"/>
          </w:rPr>
          <w:t xml:space="preserve">Gleichung 10.31</w:t>
        </w:r>
      </w:hyperlink>
      <w:r>
        <w:t xml:space="preserve"> </w:t>
      </w:r>
      <w:r>
        <w:t xml:space="preserve">eingesetzt werden.</w:t>
      </w:r>
    </w:p>
    <w:p>
      <w:pPr>
        <w:pStyle w:val="BodyText"/>
      </w:pPr>
      <w:bookmarkStart w:id="592" w:name="eq-K1-I1-2"/>
      <m:oMathPara>
        <m:oMathParaPr>
          <m:jc m:val="center"/>
        </m:oMathParaPr>
        <m:oMath>
          <m:r>
            <m:t>0</m:t>
          </m:r>
          <m:r>
            <m:rPr>
              <m:sty m:val="p"/>
            </m:rPr>
            <m:t>=</m:t>
          </m:r>
          <m:r>
            <m:t>i</m:t>
          </m:r>
          <m:r>
            <m:t>C</m:t>
          </m:r>
          <m:sSub>
            <m:e>
              <m:r>
                <m:t>U</m:t>
              </m:r>
            </m:e>
            <m:sub>
              <m:r>
                <m:t>B</m:t>
              </m:r>
              <m:r>
                <m:t>P</m:t>
              </m:r>
            </m:sub>
          </m:sSub>
          <m:r>
            <m:t>ω</m:t>
          </m:r>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10.38</m:t>
              </m:r>
            </m:e>
          </m:d>
        </m:oMath>
      </m:oMathPara>
      <w:bookmarkEnd w:id="592"/>
    </w:p>
    <w:p>
      <w:pPr>
        <w:pStyle w:val="FirstParagraph"/>
      </w:pPr>
      <w:r>
        <w:t xml:space="preserve">Die Gleichung wird nun nach</w:t>
      </w:r>
      <w:r>
        <w:t xml:space="preserve"> </w:t>
      </w:r>
      <m:oMath>
        <m:sSub>
          <m:e>
            <m:r>
              <m:t>U</m:t>
            </m:r>
          </m:e>
          <m:sub>
            <m:r>
              <m:t>B</m:t>
            </m:r>
            <m:r>
              <m:t>P</m:t>
            </m:r>
          </m:sub>
        </m:sSub>
      </m:oMath>
      <w:r>
        <w:t xml:space="preserve"> </w:t>
      </w:r>
      <w:r>
        <w:t xml:space="preserve">umgestellt:</w:t>
      </w:r>
    </w:p>
    <w:p>
      <w:pPr>
        <w:pStyle w:val="BodyText"/>
      </w:pPr>
      <w:bookmarkStart w:id="593" w:name="eq-UBP-1"/>
      <m:oMathPara>
        <m:oMathParaPr>
          <m:jc m:val="center"/>
        </m:oMathParaPr>
        <m:oMath>
          <m:sSub>
            <m:e>
              <m:r>
                <m:t>U</m:t>
              </m:r>
            </m:e>
            <m:sub>
              <m:r>
                <m:t>B</m:t>
              </m:r>
              <m:r>
                <m:t>P</m:t>
              </m:r>
            </m:sub>
          </m:sSub>
          <m:r>
            <m:rPr>
              <m:sty m:val="p"/>
            </m:rPr>
            <m:t>=</m:t>
          </m:r>
          <m:f>
            <m:fPr>
              <m:type m:val="bar"/>
            </m:fPr>
            <m:num>
              <m:r>
                <m:t>i</m:t>
              </m:r>
              <m:sSub>
                <m:e>
                  <m:r>
                    <m:t>U</m:t>
                  </m:r>
                </m:e>
                <m:sub>
                  <m:r>
                    <m:t>H</m:t>
                  </m:r>
                  <m:r>
                    <m:t>P</m:t>
                  </m:r>
                </m:sub>
              </m:sSub>
            </m:num>
            <m:den>
              <m:r>
                <m:t>C</m:t>
              </m:r>
              <m:sSub>
                <m:e>
                  <m:r>
                    <m:t>R</m:t>
                  </m:r>
                </m:e>
                <m:sub>
                  <m:r>
                    <m:t>n</m:t>
                  </m:r>
                </m:sub>
              </m:sSub>
              <m:r>
                <m:t>ω</m:t>
              </m:r>
            </m:den>
          </m:f>
          <m:r>
            <m:t>  </m:t>
          </m:r>
          <m:d>
            <m:dPr>
              <m:begChr m:val="("/>
              <m:sepChr m:val=""/>
              <m:endChr m:val=")"/>
              <m:grow/>
            </m:dPr>
            <m:e>
              <m:r>
                <m:t>10.39</m:t>
              </m:r>
            </m:e>
          </m:d>
        </m:oMath>
      </m:oMathPara>
      <w:bookmarkEnd w:id="593"/>
    </w:p>
    <w:p>
      <w:pPr>
        <w:pStyle w:val="FirstParagraph"/>
      </w:pPr>
      <w:r>
        <w:t xml:space="preserve">Mit der Definition der Integrationszeitkonstante</w:t>
      </w:r>
      <w:r>
        <w:t xml:space="preserve"> </w:t>
      </w:r>
      <m:oMath>
        <m:sSub>
          <m:e>
            <m:r>
              <m:t>T</m:t>
            </m:r>
          </m:e>
          <m:sub>
            <m:r>
              <m:t>i</m:t>
            </m:r>
          </m:sub>
        </m:sSub>
      </m:oMath>
      <w:r>
        <w:t xml:space="preserve"> </w:t>
      </w:r>
      <w:r>
        <w:t xml:space="preserve">ergibt sich:</w:t>
      </w:r>
    </w:p>
    <w:p>
      <w:pPr>
        <w:pStyle w:val="BodyText"/>
      </w:pPr>
      <w:bookmarkStart w:id="594" w:name="eq-Ti"/>
      <m:oMathPara>
        <m:oMathParaPr>
          <m:jc m:val="center"/>
        </m:oMathParaPr>
        <m:oMath>
          <m:sSub>
            <m:e>
              <m:r>
                <m:t>T</m:t>
              </m:r>
            </m:e>
            <m:sub>
              <m:r>
                <m:t>i</m:t>
              </m:r>
            </m:sub>
          </m:sSub>
          <m:r>
            <m:rPr>
              <m:sty m:val="p"/>
            </m:rPr>
            <m:t>=</m:t>
          </m:r>
          <m:r>
            <m:t>C</m:t>
          </m:r>
          <m:sSub>
            <m:e>
              <m:r>
                <m:t>R</m:t>
              </m:r>
            </m:e>
            <m:sub>
              <m:r>
                <m:t>n</m:t>
              </m:r>
            </m:sub>
          </m:sSub>
          <m:r>
            <m:t>  </m:t>
          </m:r>
          <m:d>
            <m:dPr>
              <m:begChr m:val="("/>
              <m:sepChr m:val=""/>
              <m:endChr m:val=")"/>
              <m:grow/>
            </m:dPr>
            <m:e>
              <m:r>
                <m:t>10.40</m:t>
              </m:r>
            </m:e>
          </m:d>
        </m:oMath>
      </m:oMathPara>
      <w:bookmarkEnd w:id="594"/>
    </w:p>
    <w:p>
      <w:pPr>
        <w:pStyle w:val="FirstParagraph"/>
      </w:pPr>
      <w:bookmarkStart w:id="595" w:name="eq-UBP-2"/>
      <m:oMathPara>
        <m:oMathParaPr>
          <m:jc m:val="center"/>
        </m:oMathParaPr>
        <m:oMath>
          <m:sSub>
            <m:e>
              <m:r>
                <m:t>U</m:t>
              </m:r>
            </m:e>
            <m:sub>
              <m:r>
                <m:t>B</m:t>
              </m:r>
              <m:r>
                <m:t>P</m:t>
              </m:r>
            </m:sub>
          </m:sSub>
          <m:r>
            <m:rPr>
              <m:sty m:val="p"/>
            </m:rPr>
            <m:t>=</m:t>
          </m:r>
          <m:f>
            <m:fPr>
              <m:type m:val="bar"/>
            </m:fPr>
            <m:num>
              <m:r>
                <m:t>i</m:t>
              </m:r>
              <m:sSub>
                <m:e>
                  <m:r>
                    <m:t>U</m:t>
                  </m:r>
                </m:e>
                <m:sub>
                  <m:r>
                    <m:t>H</m:t>
                  </m:r>
                  <m:r>
                    <m:t>P</m:t>
                  </m:r>
                </m:sub>
              </m:sSub>
            </m:num>
            <m:den>
              <m:sSub>
                <m:e>
                  <m:r>
                    <m:t>T</m:t>
                  </m:r>
                </m:e>
                <m:sub>
                  <m:r>
                    <m:t>i</m:t>
                  </m:r>
                </m:sub>
              </m:sSub>
              <m:r>
                <m:t>ω</m:t>
              </m:r>
            </m:den>
          </m:f>
          <m:r>
            <m:t>  </m:t>
          </m:r>
          <m:d>
            <m:dPr>
              <m:begChr m:val="("/>
              <m:sepChr m:val=""/>
              <m:endChr m:val=")"/>
              <m:grow/>
            </m:dPr>
            <m:e>
              <m:r>
                <m:t>10.41</m:t>
              </m:r>
            </m:e>
          </m:d>
        </m:oMath>
      </m:oMathPara>
      <w:bookmarkEnd w:id="595"/>
    </w:p>
    <w:p>
      <w:pPr>
        <w:pStyle w:val="FirstParagraph"/>
      </w:pPr>
      <w:r>
        <w:t xml:space="preserve">Damit ist der Integrierer der zweiten Stufe analysiert.</w:t>
      </w:r>
    </w:p>
    <w:bookmarkEnd w:id="596"/>
    <w:bookmarkStart w:id="602" w:name="integrierer-dritte-stufe"/>
    <w:p>
      <w:pPr>
        <w:pStyle w:val="Heading3"/>
      </w:pPr>
      <w:r>
        <w:t xml:space="preserve">10.1.3 Integrierer Dritte Stufe</w:t>
      </w:r>
    </w:p>
    <w:p>
      <w:pPr>
        <w:pStyle w:val="FirstParagraph"/>
      </w:pPr>
      <w:r>
        <w:t xml:space="preserve">Der dritte Operationsverstärker in der Schaltung fungiert ebenfalls als Integrierer. Da die Herleitung ident mit der des Integrierers der zweiten Stufe ist, wird hier nur das Ergebnis gezeigt.</w:t>
      </w:r>
    </w:p>
    <w:tbl>
      <w:tblPr>
        <w:tblStyle w:val="Table"/>
        <w:tblW w:type="pct" w:w="5000"/>
        <w:tblLayout w:type="fixed"/>
        <w:tblLook w:firstRow="0" w:lastRow="0" w:firstColumn="0" w:lastColumn="0" w:noHBand="0" w:noVBand="0" w:val="0000"/>
      </w:tblPr>
      <w:tblGrid>
        <w:gridCol w:w="7920"/>
      </w:tblGrid>
      <w:tr>
        <w:tc>
          <w:tcPr/>
          <w:bookmarkStart w:id="600" w:name="fig-Integrierer2"/>
          <w:p>
            <w:pPr>
              <w:pStyle w:val="Compact"/>
              <w:jc w:val="center"/>
            </w:pPr>
            <w:r>
              <w:drawing>
                <wp:inline>
                  <wp:extent cx="5334000" cy="4099954"/>
                  <wp:effectExtent b="0" l="0" r="0" t="0"/>
                  <wp:docPr descr="" title="" id="598" name="Picture"/>
                  <a:graphic>
                    <a:graphicData uri="http://schemas.openxmlformats.org/drawingml/2006/picture">
                      <pic:pic>
                        <pic:nvPicPr>
                          <pic:cNvPr descr="Projekte/SVF/Integrierer_2.png" id="599" name="Picture"/>
                          <pic:cNvPicPr>
                            <a:picLocks noChangeArrowheads="1" noChangeAspect="1"/>
                          </pic:cNvPicPr>
                        </pic:nvPicPr>
                        <pic:blipFill>
                          <a:blip r:embed="rId597"/>
                          <a:stretch>
                            <a:fillRect/>
                          </a:stretch>
                        </pic:blipFill>
                        <pic:spPr bwMode="auto">
                          <a:xfrm>
                            <a:off x="0" y="0"/>
                            <a:ext cx="5334000" cy="40999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10.4: Integrierer Dritte Stufe</w:t>
            </w:r>
          </w:p>
          <w:bookmarkEnd w:id="600"/>
        </w:tc>
      </w:tr>
    </w:tbl>
    <w:p>
      <w:pPr>
        <w:pStyle w:val="BodyText"/>
      </w:pPr>
      <w:bookmarkStart w:id="601" w:name="eq-UTP-2"/>
      <m:oMathPara>
        <m:oMathParaPr>
          <m:jc m:val="center"/>
        </m:oMathParaPr>
        <m:oMath>
          <m:sSub>
            <m:e>
              <m:r>
                <m:t>U</m:t>
              </m:r>
            </m:e>
            <m:sub>
              <m:r>
                <m:t>T</m:t>
              </m:r>
              <m:r>
                <m:t>P</m:t>
              </m:r>
            </m:sub>
          </m:sSub>
          <m:r>
            <m:rPr>
              <m:sty m:val="p"/>
            </m:rPr>
            <m:t>=</m:t>
          </m:r>
          <m:f>
            <m:fPr>
              <m:type m:val="bar"/>
            </m:fPr>
            <m:num>
              <m:r>
                <m:t>i</m:t>
              </m:r>
              <m:sSub>
                <m:e>
                  <m:r>
                    <m:t>U</m:t>
                  </m:r>
                </m:e>
                <m:sub>
                  <m:r>
                    <m:t>B</m:t>
                  </m:r>
                  <m:r>
                    <m:t>P</m:t>
                  </m:r>
                </m:sub>
              </m:sSub>
            </m:num>
            <m:den>
              <m:sSub>
                <m:e>
                  <m:r>
                    <m:t>T</m:t>
                  </m:r>
                </m:e>
                <m:sub>
                  <m:r>
                    <m:t>i</m:t>
                  </m:r>
                </m:sub>
              </m:sSub>
              <m:r>
                <m:t>ω</m:t>
              </m:r>
            </m:den>
          </m:f>
          <m:r>
            <m:t>  </m:t>
          </m:r>
          <m:d>
            <m:dPr>
              <m:begChr m:val="("/>
              <m:sepChr m:val=""/>
              <m:endChr m:val=")"/>
              <m:grow/>
            </m:dPr>
            <m:e>
              <m:r>
                <m:t>10.42</m:t>
              </m:r>
            </m:e>
          </m:d>
        </m:oMath>
      </m:oMathPara>
      <w:bookmarkEnd w:id="601"/>
    </w:p>
    <w:p>
      <w:pPr>
        <w:pStyle w:val="FirstParagraph"/>
      </w:pPr>
      <w:r>
        <w:t xml:space="preserve">Damit ist der Integrierer der dritten Stufe analysiert.</w:t>
      </w:r>
    </w:p>
    <w:bookmarkEnd w:id="602"/>
    <w:bookmarkStart w:id="608" w:name="ausgangssummierer"/>
    <w:p>
      <w:pPr>
        <w:pStyle w:val="Heading3"/>
      </w:pPr>
      <w:r>
        <w:t xml:space="preserve">10.1.4 Ausgangssummierer</w:t>
      </w:r>
    </w:p>
    <w:p>
      <w:pPr>
        <w:pStyle w:val="FirstParagraph"/>
      </w:pPr>
      <w:r>
        <w:t xml:space="preserve">Der vierte Operationsverstärker in der Schaltung fungiert als invertierender Summierer. Da die Herleitung analog zu der des Eingangssummierers ist, wird hier nur das Ergebnis gezeigt. Die einzige Abweichung ist das fehlen der Offsetspannung vereinfacht die Herleitung etwas.</w:t>
      </w:r>
    </w:p>
    <w:tbl>
      <w:tblPr>
        <w:tblStyle w:val="Table"/>
        <w:tblW w:type="pct" w:w="5000"/>
        <w:tblLayout w:type="fixed"/>
        <w:tblLook w:firstRow="0" w:lastRow="0" w:firstColumn="0" w:lastColumn="0" w:noHBand="0" w:noVBand="0" w:val="0000"/>
      </w:tblPr>
      <w:tblGrid>
        <w:gridCol w:w="7920"/>
      </w:tblGrid>
      <w:tr>
        <w:tc>
          <w:tcPr/>
          <w:bookmarkStart w:id="606" w:name="fig-Ausgangssummierer"/>
          <w:p>
            <w:pPr>
              <w:pStyle w:val="Compact"/>
              <w:jc w:val="center"/>
            </w:pPr>
            <w:r>
              <w:drawing>
                <wp:inline>
                  <wp:extent cx="5334000" cy="3972127"/>
                  <wp:effectExtent b="0" l="0" r="0" t="0"/>
                  <wp:docPr descr="" title="" id="604" name="Picture"/>
                  <a:graphic>
                    <a:graphicData uri="http://schemas.openxmlformats.org/drawingml/2006/picture">
                      <pic:pic>
                        <pic:nvPicPr>
                          <pic:cNvPr descr="Projekte/SVF/Ausgangssummierer.png" id="605" name="Picture"/>
                          <pic:cNvPicPr>
                            <a:picLocks noChangeArrowheads="1" noChangeAspect="1"/>
                          </pic:cNvPicPr>
                        </pic:nvPicPr>
                        <pic:blipFill>
                          <a:blip r:embed="rId603"/>
                          <a:stretch>
                            <a:fillRect/>
                          </a:stretch>
                        </pic:blipFill>
                        <pic:spPr bwMode="auto">
                          <a:xfrm>
                            <a:off x="0" y="0"/>
                            <a:ext cx="5334000" cy="397212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10.5: Ausgangssummierer</w:t>
            </w:r>
          </w:p>
          <w:bookmarkEnd w:id="606"/>
        </w:tc>
      </w:tr>
    </w:tbl>
    <w:p>
      <w:pPr>
        <w:pStyle w:val="BodyText"/>
      </w:pPr>
      <w:r>
        <w:t xml:space="preserve">Das Ziel ist es die Übertragungsfunktion des Ausgangssummierers zu ermitteln. Also das Verhältnis von Ausgangsspannung</w:t>
      </w:r>
      <w:r>
        <w:t xml:space="preserve"> </w:t>
      </w:r>
      <m:oMath>
        <m:sSub>
          <m:e>
            <m:r>
              <m:t>U</m:t>
            </m:r>
          </m:e>
          <m:sub>
            <m:r>
              <m:t>B</m:t>
            </m:r>
            <m:r>
              <m:t>S</m:t>
            </m:r>
          </m:sub>
        </m:sSub>
      </m:oMath>
      <w:r>
        <w:t xml:space="preserve"> </w:t>
      </w:r>
      <w:r>
        <w:t xml:space="preserve">zu Eingangsspannung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Als bekannt wird die 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w:t>
      </w:r>
      <w:r>
        <w:t xml:space="preserve">angenommen.</w:t>
      </w:r>
    </w:p>
    <w:p>
      <w:pPr>
        <w:pStyle w:val="BodyText"/>
      </w:pPr>
      <w:bookmarkStart w:id="607" w:name="eq-UBS-2"/>
      <m:oMathPara>
        <m:oMathParaPr>
          <m:jc m:val="center"/>
        </m:oMathParaPr>
        <m:oMath>
          <m:sSub>
            <m:e>
              <m:r>
                <m:t>U</m:t>
              </m:r>
            </m:e>
            <m:sub>
              <m:r>
                <m:t>B</m:t>
              </m:r>
              <m:r>
                <m:t>S</m:t>
              </m:r>
            </m:sub>
          </m:sSub>
          <m:r>
            <m:rPr>
              <m:sty m:val="p"/>
            </m:rPr>
            <m:t>=</m:t>
          </m:r>
          <m:r>
            <m:rPr>
              <m:sty m:val="p"/>
            </m:rPr>
            <m:t>−</m:t>
          </m:r>
          <m:sSub>
            <m:e>
              <m:r>
                <m:t>U</m:t>
              </m:r>
            </m:e>
            <m:sub>
              <m:r>
                <m:t>H</m:t>
              </m:r>
              <m:r>
                <m:t>P</m:t>
              </m:r>
            </m:sub>
          </m:sSub>
          <m:r>
            <m:rPr>
              <m:sty m:val="p"/>
            </m:rPr>
            <m:t>−</m:t>
          </m:r>
          <m:sSub>
            <m:e>
              <m:r>
                <m:t>U</m:t>
              </m:r>
            </m:e>
            <m:sub>
              <m:r>
                <m:t>T</m:t>
              </m:r>
              <m:r>
                <m:t>P</m:t>
              </m:r>
            </m:sub>
          </m:sSub>
          <m:r>
            <m:t>  </m:t>
          </m:r>
          <m:d>
            <m:dPr>
              <m:begChr m:val="("/>
              <m:sepChr m:val=""/>
              <m:endChr m:val=")"/>
              <m:grow/>
            </m:dPr>
            <m:e>
              <m:r>
                <m:t>10.43</m:t>
              </m:r>
            </m:e>
          </m:d>
        </m:oMath>
      </m:oMathPara>
      <w:bookmarkEnd w:id="607"/>
    </w:p>
    <w:bookmarkEnd w:id="608"/>
    <w:bookmarkStart w:id="632" w:name="lösen-der-gleichungssysteme"/>
    <w:p>
      <w:pPr>
        <w:pStyle w:val="Heading3"/>
      </w:pPr>
      <w:r>
        <w:t xml:space="preserve">10.1.5 Lösen der Gleichungssysteme</w:t>
      </w:r>
    </w:p>
    <w:p>
      <w:pPr>
        <w:pStyle w:val="FirstParagraph"/>
      </w:pPr>
      <w:r>
        <w:t xml:space="preserve">Nun werden die Teilergebnisse verwendet, um die gesuchten Übertragungsfunktionen zu ermitteln. Dazu werden die Ausdrücke für</w:t>
      </w:r>
      <w:r>
        <w:t xml:space="preserve"> </w:t>
      </w:r>
      <m:oMath>
        <m:sSub>
          <m:e>
            <m:r>
              <m:t>U</m:t>
            </m:r>
          </m:e>
          <m:sub>
            <m:r>
              <m:t>H</m:t>
            </m:r>
            <m:r>
              <m:t>P</m:t>
            </m:r>
          </m:sub>
        </m:sSub>
      </m:oMath>
      <w:r>
        <w:t xml:space="preserve">,</w:t>
      </w:r>
      <w:r>
        <w:t xml:space="preserve"> </w:t>
      </w:r>
      <m:oMath>
        <m:sSub>
          <m:e>
            <m:r>
              <m:t>U</m:t>
            </m:r>
          </m:e>
          <m:sub>
            <m:r>
              <m:t>B</m:t>
            </m:r>
            <m:r>
              <m:t>P</m:t>
            </m:r>
          </m:sub>
        </m:sSub>
      </m:oMath>
      <w:r>
        <w:t xml:space="preserve">,</w:t>
      </w:r>
      <w:r>
        <w:t xml:space="preserve"> </w:t>
      </w:r>
      <m:oMath>
        <m:sSub>
          <m:e>
            <m:r>
              <m:t>U</m:t>
            </m:r>
          </m:e>
          <m:sub>
            <m:r>
              <m:t>T</m:t>
            </m:r>
            <m:r>
              <m:t>P</m:t>
            </m:r>
          </m:sub>
        </m:sSub>
      </m:oMath>
      <w:r>
        <w:t xml:space="preserve"> </w:t>
      </w:r>
      <w:r>
        <w:t xml:space="preserve">und</w:t>
      </w:r>
      <w:r>
        <w:t xml:space="preserve"> </w:t>
      </w:r>
      <m:oMath>
        <m:sSub>
          <m:e>
            <m:r>
              <m:t>U</m:t>
            </m:r>
          </m:e>
          <m:sub>
            <m:r>
              <m:t>B</m:t>
            </m:r>
            <m:r>
              <m:t>S</m:t>
            </m:r>
          </m:sub>
        </m:sSub>
      </m:oMath>
      <w:r>
        <w:t xml:space="preserve"> </w:t>
      </w:r>
      <w:r>
        <w:t xml:space="preserve">als Gleichungssystem gelöst. Um die Übertragungsfunktion unter verwendung der selben Variablen wie in der Literatur zu erhalten, wird die Variable</w:t>
      </w:r>
      <w:r>
        <w:t xml:space="preserve"> </w:t>
      </w:r>
      <m:oMath>
        <m:sSub>
          <m:e>
            <m:r>
              <m:t>w</m:t>
            </m:r>
          </m:e>
          <m:sub>
            <m:r>
              <m:t>0</m:t>
            </m:r>
          </m:sub>
        </m:sSub>
      </m:oMath>
      <w:r>
        <w:t xml:space="preserve"> </w:t>
      </w:r>
      <w:r>
        <w:t xml:space="preserve">eingeführt. Diese entspricht der Kreisfrequenz des Filters und ist definiert als</w:t>
      </w:r>
      <w:r>
        <w:t xml:space="preserve"> </w:t>
      </w:r>
      <m:oMath>
        <m:sSub>
          <m:e>
            <m:r>
              <m:t>ω</m:t>
            </m:r>
          </m:e>
          <m:sub>
            <m:r>
              <m:t>0</m:t>
            </m:r>
          </m:sub>
        </m:sSub>
        <m:r>
          <m:rPr>
            <m:sty m:val="p"/>
          </m:rPr>
          <m:t>=</m:t>
        </m:r>
        <m:f>
          <m:fPr>
            <m:type m:val="bar"/>
          </m:fPr>
          <m:num>
            <m:r>
              <m:t>1</m:t>
            </m:r>
          </m:num>
          <m:den>
            <m:sSub>
              <m:e>
                <m:r>
                  <m:t>T</m:t>
                </m:r>
              </m:e>
              <m:sub>
                <m:r>
                  <m:t>i</m:t>
                </m:r>
              </m:sub>
            </m:sSub>
          </m:den>
        </m:f>
      </m:oMath>
      <w:r>
        <w:t xml:space="preserve">.</w:t>
      </w:r>
    </w:p>
    <w:p>
      <w:pPr>
        <w:pStyle w:val="BodyText"/>
      </w:pPr>
      <w:r>
        <w:t xml:space="preserve">Übertragungsfunktion Hochpassfilter:</w:t>
      </w:r>
    </w:p>
    <w:p>
      <w:pPr>
        <w:pStyle w:val="BodyText"/>
      </w:pPr>
      <w:bookmarkStart w:id="609" w:name="eq-AHP-final"/>
      <m:oMathPara>
        <m:oMathParaPr>
          <m:jc m:val="center"/>
        </m:oMathParaPr>
        <m:oMath>
          <m:sSub>
            <m:e>
              <m:r>
                <m:t>A</m:t>
              </m:r>
            </m:e>
            <m:sub>
              <m:r>
                <m:t>H</m:t>
              </m:r>
              <m:r>
                <m:t>P</m:t>
              </m:r>
            </m:sub>
          </m:sSub>
          <m:r>
            <m:rPr>
              <m:sty m:val="p"/>
            </m:rPr>
            <m:t>=</m:t>
          </m:r>
          <m:r>
            <m:rPr>
              <m:sty m:val="p"/>
            </m:rPr>
            <m:t>−</m:t>
          </m:r>
          <m:f>
            <m:fPr>
              <m:type m:val="bar"/>
            </m:fPr>
            <m:num>
              <m:r>
                <m:t>1</m:t>
              </m:r>
            </m:num>
            <m:den>
              <m:r>
                <m:t>1</m:t>
              </m:r>
              <m:r>
                <m:rPr>
                  <m:sty m:val="p"/>
                </m:rPr>
                <m:t>−</m:t>
              </m:r>
              <m:f>
                <m:fPr>
                  <m:type m:val="bar"/>
                </m:fPr>
                <m:num>
                  <m:sSubSup>
                    <m:e>
                      <m:r>
                        <m:t>ω</m:t>
                      </m:r>
                    </m:e>
                    <m:sub>
                      <m:r>
                        <m:t>0</m:t>
                      </m:r>
                    </m:sub>
                    <m:sup>
                      <m:r>
                        <m:t>2</m:t>
                      </m:r>
                    </m:sup>
                  </m:sSubSup>
                </m:num>
                <m:den>
                  <m:sSup>
                    <m:e>
                      <m:r>
                        <m:t>ω</m:t>
                      </m:r>
                    </m:e>
                    <m:sup>
                      <m:r>
                        <m:t>2</m:t>
                      </m:r>
                    </m:sup>
                  </m:sSup>
                </m:den>
              </m:f>
              <m:r>
                <m:rPr>
                  <m:sty m:val="p"/>
                </m:rPr>
                <m:t>−</m:t>
              </m:r>
              <m:f>
                <m:fPr>
                  <m:type m:val="bar"/>
                </m:fPr>
                <m:num>
                  <m:r>
                    <m:t>i</m:t>
                  </m:r>
                  <m:sSub>
                    <m:e>
                      <m:r>
                        <m:t>ω</m:t>
                      </m:r>
                    </m:e>
                    <m:sub>
                      <m:r>
                        <m:t>0</m:t>
                      </m:r>
                    </m:sub>
                  </m:sSub>
                </m:num>
                <m:den>
                  <m:r>
                    <m:t>Q</m:t>
                  </m:r>
                  <m:r>
                    <m:t>ω</m:t>
                  </m:r>
                </m:den>
              </m:f>
            </m:den>
          </m:f>
          <m:r>
            <m:t>  </m:t>
          </m:r>
          <m:d>
            <m:dPr>
              <m:begChr m:val="("/>
              <m:sepChr m:val=""/>
              <m:endChr m:val=")"/>
              <m:grow/>
            </m:dPr>
            <m:e>
              <m:r>
                <m:t>10.44</m:t>
              </m:r>
            </m:e>
          </m:d>
        </m:oMath>
      </m:oMathPara>
      <w:bookmarkEnd w:id="609"/>
    </w:p>
    <w:p>
      <w:pPr>
        <w:pStyle w:val="FirstParagraph"/>
      </w:pPr>
      <w:r>
        <w:t xml:space="preserve">Übertragungsfunktion Bandpassfilter:</w:t>
      </w:r>
    </w:p>
    <w:p>
      <w:pPr>
        <w:pStyle w:val="BodyText"/>
      </w:pPr>
      <w:bookmarkStart w:id="610" w:name="eq-ABP-final"/>
      <m:oMathPara>
        <m:oMathParaPr>
          <m:jc m:val="center"/>
        </m:oMathParaPr>
        <m:oMath>
          <m:sSub>
            <m:e>
              <m:r>
                <m:t>A</m:t>
              </m:r>
            </m:e>
            <m:sub>
              <m:r>
                <m:t>B</m:t>
              </m:r>
              <m:r>
                <m:t>P</m:t>
              </m:r>
            </m:sub>
          </m:sSub>
          <m:r>
            <m:rPr>
              <m:sty m:val="p"/>
            </m:rPr>
            <m:t>=</m:t>
          </m:r>
          <m:f>
            <m:fPr>
              <m:type m:val="bar"/>
            </m:fPr>
            <m:num>
              <m:r>
                <m:t>1</m:t>
              </m:r>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10.45</m:t>
              </m:r>
            </m:e>
          </m:d>
        </m:oMath>
      </m:oMathPara>
      <w:bookmarkEnd w:id="610"/>
    </w:p>
    <w:p>
      <w:pPr>
        <w:pStyle w:val="FirstParagraph"/>
      </w:pPr>
      <w:r>
        <w:t xml:space="preserve">Übertragungsfunktion Tiefpassfilter:</w:t>
      </w:r>
    </w:p>
    <w:p>
      <w:pPr>
        <w:pStyle w:val="BodyText"/>
      </w:pPr>
      <w:bookmarkStart w:id="611" w:name="eq-ATP-final"/>
      <m:oMathPara>
        <m:oMathParaPr>
          <m:jc m:val="center"/>
        </m:oMathParaPr>
        <m:oMath>
          <m:sSub>
            <m:e>
              <m:r>
                <m:t>A</m:t>
              </m:r>
            </m:e>
            <m:sub>
              <m:r>
                <m:t>T</m:t>
              </m:r>
              <m:r>
                <m:t>P</m:t>
              </m:r>
            </m:sub>
          </m:sSub>
          <m:r>
            <m:rPr>
              <m:sty m:val="p"/>
            </m:rPr>
            <m:t>=</m:t>
          </m:r>
          <m:r>
            <m:rPr>
              <m:sty m:val="p"/>
            </m:rPr>
            <m:t>−</m:t>
          </m:r>
          <m:f>
            <m:fPr>
              <m:type m:val="bar"/>
            </m:fPr>
            <m:num>
              <m:r>
                <m:t>1</m:t>
              </m:r>
            </m:num>
            <m:den>
              <m:r>
                <m:rPr>
                  <m:sty m:val="p"/>
                </m:rPr>
                <m:t>−</m:t>
              </m:r>
              <m:f>
                <m:fPr>
                  <m:type m:val="bar"/>
                </m:fPr>
                <m:num>
                  <m:sSup>
                    <m:e>
                      <m:r>
                        <m:t>ω</m:t>
                      </m:r>
                    </m:e>
                    <m:sup>
                      <m:r>
                        <m:t>2</m:t>
                      </m:r>
                    </m:sup>
                  </m:sSup>
                </m:num>
                <m:den>
                  <m:sSubSup>
                    <m:e>
                      <m:r>
                        <m:t>ω</m:t>
                      </m:r>
                    </m:e>
                    <m:sub>
                      <m:r>
                        <m:t>0</m:t>
                      </m:r>
                    </m:sub>
                    <m:sup>
                      <m:r>
                        <m:t>2</m:t>
                      </m:r>
                    </m:sup>
                  </m:sSubSup>
                </m:den>
              </m:f>
              <m:r>
                <m:rPr>
                  <m:sty m:val="p"/>
                </m:rPr>
                <m:t>+</m:t>
              </m:r>
              <m:r>
                <m:t>1</m:t>
              </m:r>
              <m:r>
                <m:rPr>
                  <m:sty m:val="p"/>
                </m:rPr>
                <m:t>+</m:t>
              </m:r>
              <m:f>
                <m:fPr>
                  <m:type m:val="bar"/>
                </m:fPr>
                <m:num>
                  <m:r>
                    <m:t>i</m:t>
                  </m:r>
                  <m:r>
                    <m:t>ω</m:t>
                  </m:r>
                </m:num>
                <m:den>
                  <m:r>
                    <m:t>Q</m:t>
                  </m:r>
                  <m:sSub>
                    <m:e>
                      <m:r>
                        <m:t>ω</m:t>
                      </m:r>
                    </m:e>
                    <m:sub>
                      <m:r>
                        <m:t>0</m:t>
                      </m:r>
                    </m:sub>
                  </m:sSub>
                </m:den>
              </m:f>
            </m:den>
          </m:f>
          <m:r>
            <m:t>  </m:t>
          </m:r>
          <m:d>
            <m:dPr>
              <m:begChr m:val="("/>
              <m:sepChr m:val=""/>
              <m:endChr m:val=")"/>
              <m:grow/>
            </m:dPr>
            <m:e>
              <m:r>
                <m:t>10.46</m:t>
              </m:r>
            </m:e>
          </m:d>
        </m:oMath>
      </m:oMathPara>
      <w:bookmarkEnd w:id="611"/>
    </w:p>
    <w:p>
      <w:pPr>
        <w:pStyle w:val="FirstParagraph"/>
      </w:pPr>
      <w:r>
        <w:t xml:space="preserve">Übertragungsfunktion Bandsperrfilter:</w:t>
      </w:r>
    </w:p>
    <w:p>
      <w:pPr>
        <w:pStyle w:val="BodyText"/>
      </w:pPr>
      <w:bookmarkStart w:id="612" w:name="eq-ABS-final"/>
      <m:oMathPara>
        <m:oMathParaPr>
          <m:jc m:val="center"/>
        </m:oMathParaPr>
        <m:oMath>
          <m:sSub>
            <m:e>
              <m:r>
                <m:t>A</m:t>
              </m:r>
            </m:e>
            <m:sub>
              <m:r>
                <m:t>B</m:t>
              </m:r>
              <m:r>
                <m:t>S</m:t>
              </m:r>
            </m:sub>
          </m:sSub>
          <m:r>
            <m:rPr>
              <m:sty m:val="p"/>
            </m:rPr>
            <m:t>=</m:t>
          </m:r>
          <m:f>
            <m:fPr>
              <m:type m:val="bar"/>
            </m:fPr>
            <m:num>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10.47</m:t>
              </m:r>
            </m:e>
          </m:d>
        </m:oMath>
      </m:oMathPara>
      <w:bookmarkEnd w:id="612"/>
    </w:p>
    <w:p>
      <w:pPr>
        <w:pStyle w:val="FirstParagraph"/>
      </w:pPr>
      <w:r>
        <w:t xml:space="preserve">Damit sind die Übertragungsfunktionen für alle Filtertypen des</w:t>
      </w:r>
      <w:r>
        <w:t xml:space="preserve"> </w:t>
      </w:r>
      <w:r>
        <w:rPr>
          <w:i/>
          <w:iCs/>
        </w:rPr>
        <w:t xml:space="preserve">State Variable Filters</w:t>
      </w:r>
      <w:r>
        <w:t xml:space="preserve"> </w:t>
      </w:r>
      <w:r>
        <w:t xml:space="preserve">ermittelt.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C:\Users\leo\AppData\Local\Programs\Quarto\share\formats\docx\tip.png" id="615" name="Picture"/>
                          <pic:cNvPicPr>
                            <a:picLocks noChangeArrowheads="1" noChangeAspect="1"/>
                          </pic:cNvPicPr>
                        </pic:nvPicPr>
                        <pic:blipFill>
                          <a:blip r:embed="rId6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zur händischen Vereinfachung</w:t>
            </w:r>
          </w:p>
        </w:tc>
      </w:tr>
      <w:tr>
        <w:trPr>
          <w:cantSplit/>
        </w:trPr>
        <w:tc>
          <w:tcPr>
            <w:tcMar>
              <w:top w:w="108" w:type="dxa"/>
              <w:bottom w:w="108" w:type="dxa"/>
            </w:tcMar>
          </w:tcPr>
          <w:p>
            <w:pPr>
              <w:pStyle w:val="BodyText"/>
            </w:pPr>
            <w:pPr>
              <w:spacing w:before="16" w:after="16"/>
            </w:pPr>
            <w:r>
              <w:t xml:space="preserve">Die Gleichung für</w:t>
            </w:r>
            <w:r>
              <w:t xml:space="preserve"> </w:t>
            </w:r>
            <m:oMath>
              <m:sSub>
                <m:e>
                  <m:r>
                    <m:t>U</m:t>
                  </m:r>
                </m:e>
                <m:sub>
                  <m:r>
                    <m:t>H</m:t>
                  </m:r>
                  <m:r>
                    <m:t>P</m:t>
                  </m:r>
                </m:sub>
              </m:sSub>
            </m:oMath>
            <w:r>
              <w:t xml:space="preserve"> </w:t>
            </w:r>
            <w:r>
              <w:t xml:space="preserve">aus</w:t>
            </w:r>
            <w:r>
              <w:t xml:space="preserve"> </w:t>
            </w:r>
            <w:hyperlink w:anchor="eq-UHP-2">
              <w:r>
                <w:rPr>
                  <w:rStyle w:val="Hyperlink"/>
                </w:rPr>
                <w:t xml:space="preserve">Gleichung 10.26</w:t>
              </w:r>
            </w:hyperlink>
            <w:r>
              <w:t xml:space="preserve"> </w:t>
            </w:r>
            <w:r>
              <w:t xml:space="preserve">kann auf die Gleichung für die Bandsperre</w:t>
            </w:r>
            <w:r>
              <w:t xml:space="preserve"> </w:t>
            </w:r>
            <w:hyperlink w:anchor="eq-UBS-2">
              <w:r>
                <w:rPr>
                  <w:rStyle w:val="Hyperlink"/>
                </w:rPr>
                <w:t xml:space="preserve">Gleichung 10.43</w:t>
              </w:r>
            </w:hyperlink>
            <w:r>
              <w:t xml:space="preserve"> </w:t>
            </w:r>
            <w:r>
              <w:t xml:space="preserve">umgeformt werden. Damit lässt sich vie Umformen einsparen.</w:t>
            </w:r>
          </w:p>
          <w:p/>
        </w:tc>
      </w:tr>
    </w:tbl>
    <w:bookmarkStart w:id="631" w:name="refs"/>
    <w:bookmarkStart w:id="617" w:name="ref-BJT_Kennlinie"/>
    <w:p>
      <w:pPr>
        <w:pStyle w:val="Bibliography"/>
      </w:pPr>
      <w:r>
        <w:t xml:space="preserve">1.</w:t>
      </w:r>
      <w:r>
        <w:t xml:space="preserve"> </w:t>
      </w:r>
      <w:r>
        <w:t xml:space="preserve">	</w:t>
      </w:r>
      <w:r>
        <w:t xml:space="preserve">Biezl V Bipolartransistor Kennlinienfeld.</w:t>
      </w:r>
      <w:r>
        <w:t xml:space="preserve"> </w:t>
      </w:r>
      <w:hyperlink r:id="rId616">
        <w:r>
          <w:rPr>
            <w:rStyle w:val="Hyperlink"/>
          </w:rPr>
          <w:t xml:space="preserve">https://commons.wikimedia.org/w/index.php?curid=7329334</w:t>
        </w:r>
      </w:hyperlink>
      <w:r>
        <w:t xml:space="preserve">. Accessed 19 Nov 2023</w:t>
      </w:r>
    </w:p>
    <w:bookmarkEnd w:id="617"/>
    <w:bookmarkStart w:id="618"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618"/>
    <w:bookmarkStart w:id="620" w:name="ref-DC-Motor_Market"/>
    <w:p>
      <w:pPr>
        <w:pStyle w:val="Bibliography"/>
      </w:pPr>
      <w:r>
        <w:t xml:space="preserve">3.</w:t>
      </w:r>
      <w:r>
        <w:t xml:space="preserve"> </w:t>
      </w:r>
      <w:r>
        <w:t xml:space="preserve">	</w:t>
      </w:r>
      <w:r>
        <w:t xml:space="preserve">Transparency Market Reserach Inc DC Motors Market.</w:t>
      </w:r>
      <w:r>
        <w:t xml:space="preserve"> </w:t>
      </w:r>
      <w:hyperlink r:id="rId619">
        <w:r>
          <w:rPr>
            <w:rStyle w:val="Hyperlink"/>
          </w:rPr>
          <w:t xml:space="preserve">https://www.transparencymarketresearch.com/dc-motors-market.html</w:t>
        </w:r>
      </w:hyperlink>
      <w:r>
        <w:t xml:space="preserve">. Accessed 13 Dez 2023</w:t>
      </w:r>
    </w:p>
    <w:bookmarkEnd w:id="620"/>
    <w:bookmarkStart w:id="622" w:name="ref-HBruecke"/>
    <w:p>
      <w:pPr>
        <w:pStyle w:val="Bibliography"/>
      </w:pPr>
      <w:r>
        <w:t xml:space="preserve">4.</w:t>
      </w:r>
      <w:r>
        <w:t xml:space="preserve"> </w:t>
      </w:r>
      <w:r>
        <w:t xml:space="preserve">	</w:t>
      </w:r>
      <w:r>
        <w:t xml:space="preserve">Biezl V Vierquadrantensteller steuert Gleichstrommotor.</w:t>
      </w:r>
      <w:r>
        <w:t xml:space="preserve"> </w:t>
      </w:r>
      <w:hyperlink r:id="rId621">
        <w:r>
          <w:rPr>
            <w:rStyle w:val="Hyperlink"/>
          </w:rPr>
          <w:t xml:space="preserve">https://commons.wikimedia.org/w/index.php?curid=4792919</w:t>
        </w:r>
      </w:hyperlink>
      <w:r>
        <w:t xml:space="preserve">. Accessed 13 Dez 2023</w:t>
      </w:r>
    </w:p>
    <w:bookmarkEnd w:id="622"/>
    <w:bookmarkStart w:id="624"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623">
        <w:r>
          <w:rPr>
            <w:rStyle w:val="Hyperlink"/>
          </w:rPr>
          <w:t xml:space="preserve">https://www.infineon.com/dgdl/Infineon-TLE7182EM-DS-v01_01-en.pdf?fileId=db3a30432f5008fe012f5442920c3996</w:t>
        </w:r>
      </w:hyperlink>
      <w:r>
        <w:t xml:space="preserve">. Accessed 1 Feb 2024</w:t>
      </w:r>
    </w:p>
    <w:bookmarkEnd w:id="624"/>
    <w:bookmarkStart w:id="626" w:name="ref-LogicDriverL99H02"/>
    <w:p>
      <w:pPr>
        <w:pStyle w:val="Bibliography"/>
      </w:pPr>
      <w:r>
        <w:t xml:space="preserve">6.</w:t>
      </w:r>
      <w:r>
        <w:t xml:space="preserve"> </w:t>
      </w:r>
      <w:r>
        <w:t xml:space="preserve">	</w:t>
      </w:r>
      <w:r>
        <w:t xml:space="preserve">Microelectronics S L99H02 Motor bridge driver.</w:t>
      </w:r>
      <w:r>
        <w:t xml:space="preserve"> </w:t>
      </w:r>
      <w:hyperlink r:id="rId625">
        <w:r>
          <w:rPr>
            <w:rStyle w:val="Hyperlink"/>
          </w:rPr>
          <w:t xml:space="preserve">https://www.st.com/en/automotive-analog-and-power/l99h02.html</w:t>
        </w:r>
      </w:hyperlink>
      <w:r>
        <w:t xml:space="preserve">. Accessed 1 Feb 2024</w:t>
      </w:r>
    </w:p>
    <w:bookmarkEnd w:id="626"/>
    <w:bookmarkStart w:id="628" w:name="ref-LogicDriverBridgeIFX9201SG"/>
    <w:p>
      <w:pPr>
        <w:pStyle w:val="Bibliography"/>
      </w:pPr>
      <w:r>
        <w:t xml:space="preserve">7.</w:t>
      </w:r>
      <w:r>
        <w:t xml:space="preserve"> </w:t>
      </w:r>
      <w:r>
        <w:t xml:space="preserve">	</w:t>
      </w:r>
      <w:r>
        <w:t xml:space="preserve">Technologies I IFX9201SG 6 A H-Bridge.</w:t>
      </w:r>
      <w:r>
        <w:t xml:space="preserve"> </w:t>
      </w:r>
      <w:hyperlink r:id="rId627">
        <w:r>
          <w:rPr>
            <w:rStyle w:val="Hyperlink"/>
          </w:rPr>
          <w:t xml:space="preserve">https://www.infineon.com/dgdl/Infineon-IFX9201SG-DS-v01_01-EN.pdf?fileId=5546d4624cb7f111014d2e8916795dea</w:t>
        </w:r>
      </w:hyperlink>
      <w:r>
        <w:t xml:space="preserve">. Accessed 1 Feb 2024</w:t>
      </w:r>
    </w:p>
    <w:bookmarkEnd w:id="628"/>
    <w:bookmarkStart w:id="630" w:name="ref-LogicDriverBridgeL298"/>
    <w:p>
      <w:pPr>
        <w:pStyle w:val="Bibliography"/>
      </w:pPr>
      <w:r>
        <w:t xml:space="preserve">8.</w:t>
      </w:r>
      <w:r>
        <w:t xml:space="preserve"> </w:t>
      </w:r>
      <w:r>
        <w:t xml:space="preserve">	</w:t>
      </w:r>
      <w:r>
        <w:t xml:space="preserve">Microelectronics S L298 Dual Full Bridge Driver.</w:t>
      </w:r>
      <w:r>
        <w:t xml:space="preserve"> </w:t>
      </w:r>
      <w:hyperlink r:id="rId629">
        <w:r>
          <w:rPr>
            <w:rStyle w:val="Hyperlink"/>
          </w:rPr>
          <w:t xml:space="preserve">https://www.st.com/resource/en/datasheet/l298.pdf</w:t>
        </w:r>
      </w:hyperlink>
      <w:r>
        <w:t xml:space="preserve">. Accessed 1 Feb 2024</w:t>
      </w:r>
    </w:p>
    <w:bookmarkEnd w:id="630"/>
    <w:bookmarkEnd w:id="631"/>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13" Target="media/rId613.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93" Target="media/rId93.png" /><Relationship Type="http://schemas.openxmlformats.org/officeDocument/2006/relationships/image" Id="rId118" Target="media/rId118.png" /><Relationship Type="http://schemas.openxmlformats.org/officeDocument/2006/relationships/image" Id="rId141" Target="media/rId141.png" /><Relationship Type="http://schemas.openxmlformats.org/officeDocument/2006/relationships/image" Id="rId176" Target="media/rId176.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36" Target="media/rId36.svg" /><Relationship Type="http://schemas.openxmlformats.org/officeDocument/2006/relationships/image" Id="rId170" Target="media/rId170.png" /><Relationship Type="http://schemas.openxmlformats.org/officeDocument/2006/relationships/image" Id="rId526" Target="media/rId526.png" /><Relationship Type="http://schemas.openxmlformats.org/officeDocument/2006/relationships/image" Id="rId241" Target="media/rId241.png" /><Relationship Type="http://schemas.openxmlformats.org/officeDocument/2006/relationships/image" Id="rId245" Target="media/rId245.svg" /><Relationship Type="http://schemas.openxmlformats.org/officeDocument/2006/relationships/image" Id="rId250" Target="media/rId250.png" /><Relationship Type="http://schemas.openxmlformats.org/officeDocument/2006/relationships/image" Id="rId254" Target="media/rId254.svg" /><Relationship Type="http://schemas.openxmlformats.org/officeDocument/2006/relationships/image" Id="rId263" Target="media/rId263.svg" /><Relationship Type="http://schemas.openxmlformats.org/officeDocument/2006/relationships/image" Id="rId259" Target="media/rId259.png" /><Relationship Type="http://schemas.openxmlformats.org/officeDocument/2006/relationships/image" Id="rId267" Target="media/rId267.svg" /><Relationship Type="http://schemas.openxmlformats.org/officeDocument/2006/relationships/image" Id="rId301" Target="media/rId301.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274" Target="media/rId274.png" /><Relationship Type="http://schemas.openxmlformats.org/officeDocument/2006/relationships/image" Id="rId315" Target="media/rId315.png" /><Relationship Type="http://schemas.openxmlformats.org/officeDocument/2006/relationships/image" Id="rId319" Target="media/rId319.svg" /><Relationship Type="http://schemas.openxmlformats.org/officeDocument/2006/relationships/image" Id="rId340" Target="media/rId34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331" Target="media/rId331.svg" /><Relationship Type="http://schemas.openxmlformats.org/officeDocument/2006/relationships/image" Id="rId344" Target="media/rId344.png" /><Relationship Type="http://schemas.openxmlformats.org/officeDocument/2006/relationships/image" Id="rId348" Target="media/rId348.svg" /><Relationship Type="http://schemas.openxmlformats.org/officeDocument/2006/relationships/image" Id="rId353" Target="media/rId353.png" /><Relationship Type="http://schemas.openxmlformats.org/officeDocument/2006/relationships/image" Id="rId237" Target="media/rId237.png" /><Relationship Type="http://schemas.openxmlformats.org/officeDocument/2006/relationships/image" Id="rId421" Target="media/rId421.png" /><Relationship Type="http://schemas.openxmlformats.org/officeDocument/2006/relationships/image" Id="rId400" Target="media/rId400.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73" Target="media/rId373.png" /><Relationship Type="http://schemas.openxmlformats.org/officeDocument/2006/relationships/image" Id="rId378" Target="media/rId378.png" /><Relationship Type="http://schemas.openxmlformats.org/officeDocument/2006/relationships/image" Id="rId406" Target="media/rId406.png" /><Relationship Type="http://schemas.openxmlformats.org/officeDocument/2006/relationships/image" Id="rId417" Target="media/rId417.png" /><Relationship Type="http://schemas.openxmlformats.org/officeDocument/2006/relationships/image" Id="rId413" Target="media/rId413.png" /><Relationship Type="http://schemas.openxmlformats.org/officeDocument/2006/relationships/image" Id="rId365" Target="media/rId365.png" /><Relationship Type="http://schemas.openxmlformats.org/officeDocument/2006/relationships/image" Id="rId449" Target="media/rId449.png" /><Relationship Type="http://schemas.openxmlformats.org/officeDocument/2006/relationships/image" Id="rId484" Target="media/rId484.png" /><Relationship Type="http://schemas.openxmlformats.org/officeDocument/2006/relationships/image" Id="rId474" Target="media/rId474.png" /><Relationship Type="http://schemas.openxmlformats.org/officeDocument/2006/relationships/image" Id="rId430" Target="media/rId430.png" /><Relationship Type="http://schemas.openxmlformats.org/officeDocument/2006/relationships/image" Id="rId459" Target="media/rId459.png" /><Relationship Type="http://schemas.openxmlformats.org/officeDocument/2006/relationships/image" Id="rId507" Target="media/rId507.png" /><Relationship Type="http://schemas.openxmlformats.org/officeDocument/2006/relationships/image" Id="rId498" Target="media/rId498.png" /><Relationship Type="http://schemas.openxmlformats.org/officeDocument/2006/relationships/image" Id="rId492" Target="media/rId492.png" /><Relationship Type="http://schemas.openxmlformats.org/officeDocument/2006/relationships/image" Id="rId488" Target="media/rId488.png" /><Relationship Type="http://schemas.openxmlformats.org/officeDocument/2006/relationships/image" Id="rId478" Target="media/rId478.png" /><Relationship Type="http://schemas.openxmlformats.org/officeDocument/2006/relationships/image" Id="rId438" Target="media/rId438.png" /><Relationship Type="http://schemas.openxmlformats.org/officeDocument/2006/relationships/image" Id="rId502" Target="media/rId502.png" /><Relationship Type="http://schemas.openxmlformats.org/officeDocument/2006/relationships/image" Id="rId603" Target="media/rId603.png" /><Relationship Type="http://schemas.openxmlformats.org/officeDocument/2006/relationships/image" Id="rId550" Target="media/rId550.png" /><Relationship Type="http://schemas.openxmlformats.org/officeDocument/2006/relationships/image" Id="rId579" Target="media/rId579.png" /><Relationship Type="http://schemas.openxmlformats.org/officeDocument/2006/relationships/image" Id="rId597" Target="media/rId597.png" /><Relationship Type="http://schemas.openxmlformats.org/officeDocument/2006/relationships/image" Id="rId542" Target="media/rId542.png" /><Relationship Type="http://schemas.openxmlformats.org/officeDocument/2006/relationships/image" Id="rId218" Target="media/rId218.svg" /><Relationship Type="http://schemas.openxmlformats.org/officeDocument/2006/relationships/image" Id="rId210" Target="media/rId210.svg" /><Relationship Type="http://schemas.openxmlformats.org/officeDocument/2006/relationships/hyperlink" Id="rId621" Target="https://commons.wikimedia.org/w/index.php?curid=4792919" TargetMode="External" /><Relationship Type="http://schemas.openxmlformats.org/officeDocument/2006/relationships/hyperlink" Id="rId616" Target="https://commons.wikimedia.org/w/index.php?curid=7329334" TargetMode="External" /><Relationship Type="http://schemas.openxmlformats.org/officeDocument/2006/relationships/hyperlink" Id="rId435" Target="https://de.wikipedia.org/wiki/Laplace-Transformation" TargetMode="External" /><Relationship Type="http://schemas.openxmlformats.org/officeDocument/2006/relationships/hyperlink" Id="rId434" Target="https://de.wikipedia.org/wiki/Nomenklatur" TargetMode="External" /><Relationship Type="http://schemas.openxmlformats.org/officeDocument/2006/relationships/hyperlink" Id="rId36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21" Target="https://ocw.mit.edu/courses/6-622-power-electronics-spring-2023/" TargetMode="External" /><Relationship Type="http://schemas.openxmlformats.org/officeDocument/2006/relationships/hyperlink" Id="rId428" Target="https://resources.altium.com/p/everything-you-need-know-about-oscillators" TargetMode="External" /><Relationship Type="http://schemas.openxmlformats.org/officeDocument/2006/relationships/hyperlink" Id="rId364" Target="https://www.altium.com/documentation/altium-designer/multi-sheet-multi-channel-design?version=22" TargetMode="External" /><Relationship Type="http://schemas.openxmlformats.org/officeDocument/2006/relationships/hyperlink" Id="rId627" Target="https://www.infineon.com/dgdl/Infineon-IFX9201SG-DS-v01_01-EN.pdf?fileId=5546d4624cb7f111014d2e8916795dea" TargetMode="External" /><Relationship Type="http://schemas.openxmlformats.org/officeDocument/2006/relationships/hyperlink" Id="rId623" Target="https://www.infineon.com/dgdl/Infineon-TLE7182EM-DS-v01_01-en.pdf?fileId=db3a30432f5008fe012f5442920c3996" TargetMode="External" /><Relationship Type="http://schemas.openxmlformats.org/officeDocument/2006/relationships/hyperlink" Id="rId625" Target="https://www.st.com/en/automotive-analog-and-power/l99h02.html" TargetMode="External" /><Relationship Type="http://schemas.openxmlformats.org/officeDocument/2006/relationships/hyperlink" Id="rId629" Target="https://www.st.com/resource/en/datasheet/l298.pdf" TargetMode="External" /><Relationship Type="http://schemas.openxmlformats.org/officeDocument/2006/relationships/hyperlink" Id="rId619"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621" Target="https://commons.wikimedia.org/w/index.php?curid=4792919" TargetMode="External" /><Relationship Type="http://schemas.openxmlformats.org/officeDocument/2006/relationships/hyperlink" Id="rId616" Target="https://commons.wikimedia.org/w/index.php?curid=7329334" TargetMode="External" /><Relationship Type="http://schemas.openxmlformats.org/officeDocument/2006/relationships/hyperlink" Id="rId435" Target="https://de.wikipedia.org/wiki/Laplace-Transformation" TargetMode="External" /><Relationship Type="http://schemas.openxmlformats.org/officeDocument/2006/relationships/hyperlink" Id="rId434" Target="https://de.wikipedia.org/wiki/Nomenklatur" TargetMode="External" /><Relationship Type="http://schemas.openxmlformats.org/officeDocument/2006/relationships/hyperlink" Id="rId36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21" Target="https://ocw.mit.edu/courses/6-622-power-electronics-spring-2023/" TargetMode="External" /><Relationship Type="http://schemas.openxmlformats.org/officeDocument/2006/relationships/hyperlink" Id="rId428" Target="https://resources.altium.com/p/everything-you-need-know-about-oscillators" TargetMode="External" /><Relationship Type="http://schemas.openxmlformats.org/officeDocument/2006/relationships/hyperlink" Id="rId364" Target="https://www.altium.com/documentation/altium-designer/multi-sheet-multi-channel-design?version=22" TargetMode="External" /><Relationship Type="http://schemas.openxmlformats.org/officeDocument/2006/relationships/hyperlink" Id="rId627" Target="https://www.infineon.com/dgdl/Infineon-IFX9201SG-DS-v01_01-EN.pdf?fileId=5546d4624cb7f111014d2e8916795dea" TargetMode="External" /><Relationship Type="http://schemas.openxmlformats.org/officeDocument/2006/relationships/hyperlink" Id="rId623" Target="https://www.infineon.com/dgdl/Infineon-TLE7182EM-DS-v01_01-en.pdf?fileId=db3a30432f5008fe012f5442920c3996" TargetMode="External" /><Relationship Type="http://schemas.openxmlformats.org/officeDocument/2006/relationships/hyperlink" Id="rId625" Target="https://www.st.com/en/automotive-analog-and-power/l99h02.html" TargetMode="External" /><Relationship Type="http://schemas.openxmlformats.org/officeDocument/2006/relationships/hyperlink" Id="rId629" Target="https://www.st.com/resource/en/datasheet/l298.pdf" TargetMode="External" /><Relationship Type="http://schemas.openxmlformats.org/officeDocument/2006/relationships/hyperlink" Id="rId619"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2026-01-22T20:13:33Z</dcterms:created>
  <dcterms:modified xsi:type="dcterms:W3CDTF">2026-01-22T20:13:33Z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2026-01-22</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