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51.png" ContentType="image/png"/>
  <Override PartName="/word/media/rId330.png" ContentType="image/png"/>
  <Override PartName="/word/media/rId299.png" ContentType="image/png"/>
  <Override PartName="/word/media/rId313.png" ContentType="image/png"/>
  <Override PartName="/word/media/rId303.png" ContentType="image/png"/>
  <Override PartName="/word/media/rId308.png" ContentType="image/png"/>
  <Override PartName="/word/media/rId336.png" ContentType="image/png"/>
  <Override PartName="/word/media/rId347.png" ContentType="image/png"/>
  <Override PartName="/word/media/rId343.png" ContentType="image/png"/>
  <Override PartName="/word/media/rId295.png" ContentType="image/png"/>
  <Override PartName="/word/media/rId379.png" ContentType="image/png"/>
  <Override PartName="/word/media/rId414.png" ContentType="image/png"/>
  <Override PartName="/word/media/rId404.png" ContentType="image/png"/>
  <Override PartName="/word/media/rId360.png" ContentType="image/png"/>
  <Override PartName="/word/media/rId389.png" ContentType="image/png"/>
  <Override PartName="/word/media/rId437.png" ContentType="image/png"/>
  <Override PartName="/word/media/rId428.png" ContentType="image/png"/>
  <Override PartName="/word/media/rId422.png" ContentType="image/png"/>
  <Override PartName="/word/media/rId418.png" ContentType="image/png"/>
  <Override PartName="/word/media/rId408.png" ContentType="image/png"/>
  <Override PartName="/word/media/rId368.png" ContentType="image/png"/>
  <Override PartName="/word/media/rId432.png" ContentType="image/png"/>
  <Override PartName="/word/media/rId451.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2025-04-10</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m:oMath>
        <m:r>
          <m:t>B</m:t>
        </m:r>
      </m:oMath>
      <w:r>
        <w:t xml:space="preserve"> </w:t>
      </w:r>
      <w:r>
        <w:t xml:space="preserve">… B Eingang</w:t>
      </w:r>
    </w:p>
    <w:p>
      <w:pPr>
        <w:pStyle w:val="BodyText"/>
      </w:pPr>
      <m:oMath>
        <m:r>
          <m:t>Y</m:t>
        </m:r>
      </m:oMath>
      <w:r>
        <w:t xml:space="preserve"> </w:t>
      </w:r>
      <w:r>
        <w:t xml:space="preserve">… Y Ausgang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einen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422424"/>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42242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7"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r>
        <w:br/>
      </w:r>
    </w:p>
    <w:p>
      <w:pPr>
        <w:numPr>
          <w:ilvl w:val="0"/>
          <w:numId w:val="1006"/>
        </w:numPr>
        <w:pStyle w:val="Compact"/>
      </w:pPr>
      <w:r>
        <w:t xml:space="preserve">Optional: Leerlauf</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5"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brake</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Brake</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4"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Für die Simulation von hierarchischen Designs in Altium muss im</w:t>
            </w:r>
            <w:r>
              <w:t xml:space="preserve"> </w:t>
            </w:r>
            <w:r>
              <w:rPr>
                <w:iCs/>
                <w:i/>
              </w:rPr>
              <w:t xml:space="preserve">Simulation Dashboard</w:t>
            </w:r>
            <w:r>
              <w:t xml:space="preserve"> </w:t>
            </w:r>
            <w:r>
              <w:t xml:space="preserve">von</w:t>
            </w:r>
            <w:r>
              <w:t xml:space="preserve"> </w:t>
            </w:r>
            <w:r>
              <w:rPr>
                <w:iCs/>
                <w:i/>
              </w:rPr>
              <w:t xml:space="preserve">Document</w:t>
            </w:r>
            <w:r>
              <w:t xml:space="preserve"> </w:t>
            </w:r>
            <w:r>
              <w:t xml:space="preserve">auf</w:t>
            </w:r>
            <w:r>
              <w:t xml:space="preserve"> </w:t>
            </w:r>
            <w:r>
              <w:rPr>
                <w:iCs/>
                <w:i/>
              </w:rPr>
              <w:t xml:space="preserve">Project</w:t>
            </w:r>
            <w:r>
              <w:t xml:space="preserve"> </w:t>
            </w:r>
            <w:r>
              <w:t xml:space="preserve">umgestellt werden.</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C:\Users\leo\AppData\Local\Programs\Quarto\share\formats\docx\note.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3" w:name="fig-LogikSchaltung"/>
          <w:p>
            <w:pPr>
              <w:pStyle w:val="Compact"/>
              <w:jc w:val="center"/>
            </w:pPr>
            <w:r>
              <w:drawing>
                <wp:inline>
                  <wp:extent cx="5332395" cy="7372951"/>
                  <wp:effectExtent b="0" l="0" r="0" t="0"/>
                  <wp:docPr descr="" title="" id="331" name="Picture"/>
                  <a:graphic>
                    <a:graphicData uri="http://schemas.openxmlformats.org/drawingml/2006/picture">
                      <pic:pic>
                        <pic:nvPicPr>
                          <pic:cNvPr descr="Projekte/Grafiken/Hbruecke/LogicCirciut.png" id="332" name="Picture"/>
                          <pic:cNvPicPr>
                            <a:picLocks noChangeArrowheads="1" noChangeAspect="1"/>
                          </pic:cNvPicPr>
                        </pic:nvPicPr>
                        <pic:blipFill>
                          <a:blip r:embed="rId330"/>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4"/>
    <w:bookmarkEnd w:id="335"/>
    <w:bookmarkStart w:id="342"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40"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9" w:name="fig-OPV-Schaltung"/>
          <w:p>
            <w:pPr>
              <w:pStyle w:val="Compact"/>
              <w:jc w:val="center"/>
            </w:pPr>
            <w:r>
              <w:drawing>
                <wp:inline>
                  <wp:extent cx="5334000" cy="1670614"/>
                  <wp:effectExtent b="0" l="0" r="0" t="0"/>
                  <wp:docPr descr="" title="" id="337" name="Picture"/>
                  <a:graphic>
                    <a:graphicData uri="http://schemas.openxmlformats.org/drawingml/2006/picture">
                      <pic:pic>
                        <pic:nvPicPr>
                          <pic:cNvPr descr="Projekte/Grafiken/Hbruecke/OPV-Schaltung.png" id="338" name="Picture"/>
                          <pic:cNvPicPr>
                            <a:picLocks noChangeArrowheads="1" noChangeAspect="1"/>
                          </pic:cNvPicPr>
                        </pic:nvPicPr>
                        <pic:blipFill>
                          <a:blip r:embed="rId336"/>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9"/>
        </w:tc>
      </w:tr>
    </w:tbl>
    <w:bookmarkEnd w:id="340"/>
    <w:bookmarkStart w:id="341"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41"/>
    <w:bookmarkEnd w:id="342"/>
    <w:bookmarkStart w:id="355" w:name="funktionsüberpürfung-der-h-brücke"/>
    <w:p>
      <w:pPr>
        <w:pStyle w:val="Heading2"/>
      </w:pPr>
      <w:r>
        <w:t xml:space="preserve">5.4 Funktionsüberpürfung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r>
        <w:rPr>
          <w:bCs/>
          <w:b/>
        </w:rPr>
        <w:t xml:space="preserve">?@fig-ExtendedMotorModel</w:t>
      </w:r>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6" w:name="fig-TopSheet"/>
          <w:p>
            <w:pPr>
              <w:pStyle w:val="Compact"/>
              <w:jc w:val="center"/>
            </w:pPr>
            <w:r>
              <w:drawing>
                <wp:inline>
                  <wp:extent cx="5334000" cy="1713238"/>
                  <wp:effectExtent b="0" l="0" r="0" t="0"/>
                  <wp:docPr descr="" title="" id="344" name="Picture"/>
                  <a:graphic>
                    <a:graphicData uri="http://schemas.openxmlformats.org/drawingml/2006/picture">
                      <pic:pic>
                        <pic:nvPicPr>
                          <pic:cNvPr descr="Projekte/Grafiken/Hbruecke/TopSheet.png" id="345" name="Picture"/>
                          <pic:cNvPicPr>
                            <a:picLocks noChangeArrowheads="1" noChangeAspect="1"/>
                          </pic:cNvPicPr>
                        </pic:nvPicPr>
                        <pic:blipFill>
                          <a:blip r:embed="rId343"/>
                          <a:stretch>
                            <a:fillRect/>
                          </a:stretch>
                        </pic:blipFill>
                        <pic:spPr bwMode="auto">
                          <a:xfrm>
                            <a:off x="0" y="0"/>
                            <a:ext cx="5334000" cy="171323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0" w:name="fig-SimpleMotorModel"/>
          <w:p>
            <w:pPr>
              <w:pStyle w:val="Compact"/>
              <w:jc w:val="center"/>
            </w:pPr>
            <w:r>
              <w:drawing>
                <wp:inline>
                  <wp:extent cx="1157387" cy="2097365"/>
                  <wp:effectExtent b="0" l="0" r="0" t="0"/>
                  <wp:docPr descr="" title="" id="348" name="Picture"/>
                  <a:graphic>
                    <a:graphicData uri="http://schemas.openxmlformats.org/drawingml/2006/picture">
                      <pic:pic>
                        <pic:nvPicPr>
                          <pic:cNvPr descr="Projekte/Grafiken/Hbruecke/SimpleMotorModel.png" id="349" name="Picture"/>
                          <pic:cNvPicPr>
                            <a:picLocks noChangeArrowheads="1" noChangeAspect="1"/>
                          </pic:cNvPicPr>
                        </pic:nvPicPr>
                        <pic:blipFill>
                          <a:blip r:embed="rId347"/>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Motormodell</w:t>
            </w:r>
          </w:p>
          <w:bookmarkEnd w:id="35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4" w:name="fig-ExtendedMotorModell"/>
          <w:p>
            <w:pPr>
              <w:pStyle w:val="Compact"/>
              <w:jc w:val="center"/>
            </w:pPr>
            <w:r>
              <w:drawing>
                <wp:inline>
                  <wp:extent cx="4267200" cy="4003721"/>
                  <wp:effectExtent b="0" l="0" r="0" t="0"/>
                  <wp:docPr descr="" title="" id="352" name="Picture"/>
                  <a:graphic>
                    <a:graphicData uri="http://schemas.openxmlformats.org/drawingml/2006/picture">
                      <pic:pic>
                        <pic:nvPicPr>
                          <pic:cNvPr descr="Projekte/Grafiken/Hbruecke/AdvancedMotorModel.png" id="353" name="Picture"/>
                          <pic:cNvPicPr>
                            <a:picLocks noChangeArrowheads="1" noChangeAspect="1"/>
                          </pic:cNvPicPr>
                        </pic:nvPicPr>
                        <pic:blipFill>
                          <a:blip r:embed="rId351"/>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Motormodell,</w:t>
            </w:r>
            <w:r>
              <w:t xml:space="preserve"> </w:t>
            </w:r>
            <w:r>
              <w:t xml:space="preserve">[</w:t>
            </w:r>
            <w:r>
              <w:rPr>
                <w:bCs/>
                <w:b/>
              </w:rPr>
              <w:t xml:space="preserve">MotorModell?</w:t>
            </w:r>
            <w:r>
              <w:t xml:space="preserve">]</w:t>
            </w:r>
          </w:p>
          <w:bookmarkEnd w:id="354"/>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brake aktivieren.</w:t>
      </w:r>
    </w:p>
    <w:bookmarkEnd w:id="355"/>
    <w:bookmarkStart w:id="356" w:name="pwm-und-induktive-lasten"/>
    <w:p>
      <w:pPr>
        <w:pStyle w:val="Heading2"/>
      </w:pPr>
      <w:r>
        <w:t xml:space="preserve">5.5 PWM und induktive Lasten</w:t>
      </w:r>
    </w:p>
    <w:p>
      <w:pPr>
        <w:pStyle w:val="FirstParagraph"/>
      </w:pPr>
      <w:r>
        <w:rPr>
          <w:bCs/>
          <w:b/>
        </w:rPr>
        <w:t xml:space="preserve">To Be Continued</w:t>
      </w:r>
    </w:p>
    <w:bookmarkEnd w:id="356"/>
    <w:bookmarkEnd w:id="357"/>
    <w:bookmarkStart w:id="450"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7"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9"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8">
        <w:r>
          <w:rPr>
            <w:rStyle w:val="Hyperlink"/>
          </w:rPr>
          <w:t xml:space="preserve">Altium Designer - Oscillators</w:t>
        </w:r>
      </w:hyperlink>
    </w:p>
    <w:bookmarkEnd w:id="359"/>
    <w:bookmarkStart w:id="366"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3" w:name="fig-OscBlockschaltbildOszillator"/>
          <w:p>
            <w:pPr>
              <w:pStyle w:val="Compact"/>
              <w:jc w:val="center"/>
            </w:pPr>
            <w:r>
              <w:drawing>
                <wp:inline>
                  <wp:extent cx="5334000" cy="1796254"/>
                  <wp:effectExtent b="0" l="0" r="0" t="0"/>
                  <wp:docPr descr="" title="" id="361" name="Picture"/>
                  <a:graphic>
                    <a:graphicData uri="http://schemas.openxmlformats.org/drawingml/2006/picture">
                      <pic:pic>
                        <pic:nvPicPr>
                          <pic:cNvPr descr="Projekte/Oszillator/OszillatorBlockschaltbild.png" id="362" name="Picture"/>
                          <pic:cNvPicPr>
                            <a:picLocks noChangeArrowheads="1" noChangeAspect="1"/>
                          </pic:cNvPicPr>
                        </pic:nvPicPr>
                        <pic:blipFill>
                          <a:blip r:embed="rId360"/>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3"/>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4">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5">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6"/>
    <w:bookmarkEnd w:id="367"/>
    <w:bookmarkStart w:id="44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6"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zwei Kondensatoren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1" w:name="fig-RCSchwingkreis"/>
          <w:p>
            <w:pPr>
              <w:pStyle w:val="Compact"/>
              <w:jc w:val="center"/>
            </w:pPr>
            <w:r>
              <w:drawing>
                <wp:inline>
                  <wp:extent cx="3599999" cy="4534999"/>
                  <wp:effectExtent b="0" l="0" r="0" t="0"/>
                  <wp:docPr descr="" title="" id="369" name="Picture"/>
                  <a:graphic>
                    <a:graphicData uri="http://schemas.openxmlformats.org/drawingml/2006/picture">
                      <pic:pic>
                        <pic:nvPicPr>
                          <pic:cNvPr descr="Projekte/Oszillator/RCSchwingkreis.png" id="370" name="Picture"/>
                          <pic:cNvPicPr>
                            <a:picLocks noChangeArrowheads="1" noChangeAspect="1"/>
                          </pic:cNvPicPr>
                        </pic:nvPicPr>
                        <pic:blipFill>
                          <a:blip r:embed="rId368"/>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71"/>
        </w:tc>
      </w:tr>
    </w:tbl>
    <w:p>
      <w:pPr>
        <w:pStyle w:val="BodyText"/>
      </w:pPr>
      <w:r>
        <w:t xml:space="preserve">Die Übertragungsfunktion lässt sich nun auf zwei Arten darstellen. Entweder mathematisch mittels der Komplexen Wechselstromrechnung oder mittels Simulation.</w:t>
      </w:r>
    </w:p>
    <w:bookmarkStart w:id="378"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2"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2"/>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3"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3"/>
    </w:p>
    <w:p>
      <w:pPr>
        <w:pStyle w:val="FirstParagraph"/>
      </w:pPr>
      <w:r>
        <w:t xml:space="preserve">Bei der Schwingfrequenz des Oszillators handelt es sich um die Eigenfrequenz des Schwingkreises. Bei der Schwingfrequenz ist der Imaginärteil Null. Das lässt sich benutzen, um die Eigenfrequenz zu berechnen. Ist der Zähler rein real, kann nur der Imaginärteil des Nenners betrachtet werden. Ist der Zähler nicht nur real kann dies eventuell durch erweitern mit</w:t>
      </w:r>
      <w:r>
        <w:t xml:space="preserve"> </w:t>
      </w:r>
      <m:oMath>
        <m:r>
          <m:t>i</m:t>
        </m:r>
        <m:r>
          <m:rPr>
            <m:sty m:val="p"/>
          </m:rPr>
          <m:t>/</m:t>
        </m:r>
        <m:r>
          <m:t>i</m:t>
        </m:r>
      </m:oMath>
      <w:r>
        <w:t xml:space="preserve"> </w:t>
      </w:r>
      <w:r>
        <w:t xml:space="preserve">erreicht werden.</w:t>
      </w:r>
    </w:p>
    <w:p>
      <w:pPr>
        <w:pStyle w:val="BodyText"/>
      </w:pPr>
      <w:bookmarkStart w:id="374"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4"/>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5"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5"/>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6"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6"/>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7"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7"/>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8"/>
    <w:bookmarkStart w:id="385"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2" w:name="fig-ACBodeRCSchwingkreis"/>
          <w:p>
            <w:pPr>
              <w:pStyle w:val="Compact"/>
              <w:jc w:val="center"/>
            </w:pPr>
            <w:r>
              <w:drawing>
                <wp:inline>
                  <wp:extent cx="5334000" cy="2804948"/>
                  <wp:effectExtent b="0" l="0" r="0" t="0"/>
                  <wp:docPr descr="" title="" id="380" name="Picture"/>
                  <a:graphic>
                    <a:graphicData uri="http://schemas.openxmlformats.org/drawingml/2006/picture">
                      <pic:pic>
                        <pic:nvPicPr>
                          <pic:cNvPr descr="Projekte/Oszillator/ACAnalysis.png" id="381" name="Picture"/>
                          <pic:cNvPicPr>
                            <a:picLocks noChangeArrowheads="1" noChangeAspect="1"/>
                          </pic:cNvPicPr>
                        </pic:nvPicPr>
                        <pic:blipFill>
                          <a:blip r:embed="rId379"/>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3"/>
        </w:tc>
      </w:tr>
    </w:tbl>
    <w:p>
      <w:pPr>
        <w:pStyle w:val="BodyText"/>
      </w:pPr>
      <w:r>
        <w:t xml:space="preserve">Um die Ergebnisse vergleichen zu können muss von der Frequenz auf die Kreisfrequenz umgerechnet werden.</w:t>
      </w:r>
    </w:p>
    <w:p>
      <w:pPr>
        <w:pStyle w:val="BodyText"/>
      </w:pPr>
      <w:bookmarkStart w:id="384"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4"/>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5"/>
    <w:bookmarkEnd w:id="386"/>
    <w:bookmarkStart w:id="402"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8"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7"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7"/>
    </w:p>
    <w:p>
      <w:pPr>
        <w:pStyle w:val="FirstParagraph"/>
      </w:pPr>
      <m:oMath>
        <m:sSub>
          <m:e>
            <m:r>
              <m:t>k</m:t>
            </m:r>
          </m:e>
          <m:sub>
            <m:r>
              <m:t>O</m:t>
            </m:r>
            <m:r>
              <m:t>P</m:t>
            </m:r>
            <m:r>
              <m:t>V</m:t>
            </m:r>
          </m:sub>
        </m:sSub>
      </m:oMath>
      <w:r>
        <w:t xml:space="preserve"> </w:t>
      </w:r>
      <w:r>
        <w:t xml:space="preserve">… Verstärkung des Verstärkers</w:t>
      </w:r>
    </w:p>
    <w:bookmarkEnd w:id="388"/>
    <w:bookmarkStart w:id="395"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2" w:name="fig-OscOpenLoop"/>
          <w:p>
            <w:pPr>
              <w:pStyle w:val="Compact"/>
              <w:jc w:val="center"/>
            </w:pPr>
            <w:r>
              <w:drawing>
                <wp:inline>
                  <wp:extent cx="3599999" cy="855605"/>
                  <wp:effectExtent b="0" l="0" r="0" t="0"/>
                  <wp:docPr descr="" title="" id="390" name="Picture"/>
                  <a:graphic>
                    <a:graphicData uri="http://schemas.openxmlformats.org/drawingml/2006/picture">
                      <pic:pic>
                        <pic:nvPicPr>
                          <pic:cNvPr descr="Projekte/Oszillator/OszillatorBlockschaltbildOpenLoop.png" id="391" name="Picture"/>
                          <pic:cNvPicPr>
                            <a:picLocks noChangeArrowheads="1" noChangeAspect="1"/>
                          </pic:cNvPicPr>
                        </pic:nvPicPr>
                        <pic:blipFill>
                          <a:blip r:embed="rId389"/>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2"/>
        </w:tc>
      </w:tr>
    </w:tbl>
    <w:p>
      <w:pPr>
        <w:pStyle w:val="BodyText"/>
      </w:pPr>
      <w:bookmarkStart w:id="393"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3"/>
    </w:p>
    <w:p>
      <w:pPr>
        <w:pStyle w:val="FirstParagraph"/>
      </w:pPr>
      <w:bookmarkStart w:id="394"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4"/>
    </w:p>
    <w:bookmarkEnd w:id="395"/>
    <w:bookmarkStart w:id="396"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das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6"/>
    <w:bookmarkStart w:id="397"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der Schwingkreis und der Verstärker, müssen so gewählt werden, dass die Gesamtverstärkung an der Eigenfrequenz 1 ist. Das bedeutet, dass die Verstärkung des Verstärkers gleich der Dämpfung des Schwingkreises sein muss.</w:t>
      </w:r>
    </w:p>
    <w:bookmarkEnd w:id="397"/>
    <w:bookmarkStart w:id="398"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8"/>
    <w:bookmarkStart w:id="400"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9"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9"/>
    </w:p>
    <w:bookmarkEnd w:id="400"/>
    <w:bookmarkStart w:id="401"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401"/>
    <w:bookmarkEnd w:id="402"/>
    <w:bookmarkStart w:id="442"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3"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3"/>
    <w:bookmarkStart w:id="413"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7" w:name="fig-OscOpenLoopSchaltung"/>
          <w:p>
            <w:pPr>
              <w:pStyle w:val="Compact"/>
              <w:jc w:val="center"/>
            </w:pPr>
            <w:r>
              <w:drawing>
                <wp:inline>
                  <wp:extent cx="5334000" cy="3465364"/>
                  <wp:effectExtent b="0" l="0" r="0" t="0"/>
                  <wp:docPr descr="" title="" id="405" name="Picture"/>
                  <a:graphic>
                    <a:graphicData uri="http://schemas.openxmlformats.org/drawingml/2006/picture">
                      <pic:pic>
                        <pic:nvPicPr>
                          <pic:cNvPr descr="Projekte/Oszillator/OpenLoop.png" id="406" name="Picture"/>
                          <pic:cNvPicPr>
                            <a:picLocks noChangeArrowheads="1" noChangeAspect="1"/>
                          </pic:cNvPicPr>
                        </pic:nvPicPr>
                        <pic:blipFill>
                          <a:blip r:embed="rId404"/>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1" w:name="fig-OscOpenLoopSimulation"/>
          <w:p>
            <w:pPr>
              <w:pStyle w:val="Compact"/>
              <w:jc w:val="center"/>
            </w:pPr>
            <w:r>
              <w:drawing>
                <wp:inline>
                  <wp:extent cx="5334000" cy="3511874"/>
                  <wp:effectExtent b="0" l="0" r="0" t="0"/>
                  <wp:docPr descr="" title="" id="409" name="Picture"/>
                  <a:graphic>
                    <a:graphicData uri="http://schemas.openxmlformats.org/drawingml/2006/picture">
                      <pic:pic>
                        <pic:nvPicPr>
                          <pic:cNvPr descr="Projekte/Oszillator/RCOpenLoopBode.png" id="410" name="Picture"/>
                          <pic:cNvPicPr>
                            <a:picLocks noChangeArrowheads="1" noChangeAspect="1"/>
                          </pic:cNvPicPr>
                        </pic:nvPicPr>
                        <pic:blipFill>
                          <a:blip r:embed="rId408"/>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1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2"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2"/>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3"/>
    <w:bookmarkStart w:id="426"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7" w:name="fig-OscClosedLoopSchaltung"/>
          <w:p>
            <w:pPr>
              <w:pStyle w:val="Compact"/>
              <w:jc w:val="center"/>
            </w:pPr>
            <w:r>
              <w:drawing>
                <wp:inline>
                  <wp:extent cx="5334000" cy="3415413"/>
                  <wp:effectExtent b="0" l="0" r="0" t="0"/>
                  <wp:docPr descr="" title="" id="415" name="Picture"/>
                  <a:graphic>
                    <a:graphicData uri="http://schemas.openxmlformats.org/drawingml/2006/picture">
                      <pic:pic>
                        <pic:nvPicPr>
                          <pic:cNvPr descr="Projekte/Oszillator/ClosedLoop.png" id="416" name="Picture"/>
                          <pic:cNvPicPr>
                            <a:picLocks noChangeArrowheads="1" noChangeAspect="1"/>
                          </pic:cNvPicPr>
                        </pic:nvPicPr>
                        <pic:blipFill>
                          <a:blip r:embed="rId414"/>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1" w:name="fig-OscClosedLoopSimulationStable"/>
          <w:p>
            <w:pPr>
              <w:pStyle w:val="Compact"/>
              <w:jc w:val="center"/>
            </w:pPr>
            <w:r>
              <w:drawing>
                <wp:inline>
                  <wp:extent cx="5334000" cy="3547042"/>
                  <wp:effectExtent b="0" l="0" r="0" t="0"/>
                  <wp:docPr descr="" title="" id="419" name="Picture"/>
                  <a:graphic>
                    <a:graphicData uri="http://schemas.openxmlformats.org/drawingml/2006/picture">
                      <pic:pic>
                        <pic:nvPicPr>
                          <pic:cNvPr descr="Projekte/Oszillator/RCClosedLoopTransStable.png" id="420" name="Picture"/>
                          <pic:cNvPicPr>
                            <a:picLocks noChangeArrowheads="1" noChangeAspect="1"/>
                          </pic:cNvPicPr>
                        </pic:nvPicPr>
                        <pic:blipFill>
                          <a:blip r:embed="rId418"/>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1"/>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5" w:name="fig-OscClosedLoopSimulationInstable"/>
          <w:p>
            <w:pPr>
              <w:pStyle w:val="Compact"/>
              <w:jc w:val="center"/>
            </w:pPr>
            <w:r>
              <w:drawing>
                <wp:inline>
                  <wp:extent cx="5334000" cy="3107330"/>
                  <wp:effectExtent b="0" l="0" r="0" t="0"/>
                  <wp:docPr descr="" title="" id="423" name="Picture"/>
                  <a:graphic>
                    <a:graphicData uri="http://schemas.openxmlformats.org/drawingml/2006/picture">
                      <pic:pic>
                        <pic:nvPicPr>
                          <pic:cNvPr descr="Projekte/Oszillator/RCClosedLoopTransInst.png" id="424" name="Picture"/>
                          <pic:cNvPicPr>
                            <a:picLocks noChangeArrowheads="1" noChangeAspect="1"/>
                          </pic:cNvPicPr>
                        </pic:nvPicPr>
                        <pic:blipFill>
                          <a:blip r:embed="rId422"/>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5"/>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6"/>
    <w:bookmarkStart w:id="427"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7"/>
    <w:bookmarkStart w:id="436"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31" w:name="fig-OscVCR"/>
          <w:p>
            <w:pPr>
              <w:pStyle w:val="Compact"/>
              <w:jc w:val="center"/>
            </w:pPr>
            <w:r>
              <w:drawing>
                <wp:inline>
                  <wp:extent cx="5334000" cy="5105166"/>
                  <wp:effectExtent b="0" l="0" r="0" t="0"/>
                  <wp:docPr descr="" title="" id="429" name="Picture"/>
                  <a:graphic>
                    <a:graphicData uri="http://schemas.openxmlformats.org/drawingml/2006/picture">
                      <pic:pic>
                        <pic:nvPicPr>
                          <pic:cNvPr descr="Projekte/Oszillator/PKanalVCR.png" id="430" name="Picture"/>
                          <pic:cNvPicPr>
                            <a:picLocks noChangeArrowheads="1" noChangeAspect="1"/>
                          </pic:cNvPicPr>
                        </pic:nvPicPr>
                        <pic:blipFill>
                          <a:blip r:embed="rId428"/>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5" w:name="fig-OscVCRDCSweep"/>
          <w:p>
            <w:pPr>
              <w:pStyle w:val="Compact"/>
              <w:jc w:val="center"/>
            </w:pPr>
            <w:r>
              <w:drawing>
                <wp:inline>
                  <wp:extent cx="5334000" cy="3181684"/>
                  <wp:effectExtent b="0" l="0" r="0" t="0"/>
                  <wp:docPr descr="" title="" id="433" name="Picture"/>
                  <a:graphic>
                    <a:graphicData uri="http://schemas.openxmlformats.org/drawingml/2006/picture">
                      <pic:pic>
                        <pic:nvPicPr>
                          <pic:cNvPr descr="Projekte/Oszillator/VCRDCSweep.png" id="434" name="Picture"/>
                          <pic:cNvPicPr>
                            <a:picLocks noChangeArrowheads="1" noChangeAspect="1"/>
                          </pic:cNvPicPr>
                        </pic:nvPicPr>
                        <pic:blipFill>
                          <a:blip r:embed="rId432"/>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5"/>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6"/>
    <w:bookmarkStart w:id="441"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40" w:name="fig-OscSchaltung"/>
          <w:p>
            <w:pPr>
              <w:pStyle w:val="Compact"/>
              <w:jc w:val="center"/>
            </w:pPr>
            <w:r>
              <w:drawing>
                <wp:inline>
                  <wp:extent cx="5334000" cy="6141554"/>
                  <wp:effectExtent b="0" l="0" r="0" t="0"/>
                  <wp:docPr descr="" title="" id="438" name="Picture"/>
                  <a:graphic>
                    <a:graphicData uri="http://schemas.openxmlformats.org/drawingml/2006/picture">
                      <pic:pic>
                        <pic:nvPicPr>
                          <pic:cNvPr descr="Projekte/Oszillator/OszillatorPKanal.png" id="439" name="Picture"/>
                          <pic:cNvPicPr>
                            <a:picLocks noChangeArrowheads="1" noChangeAspect="1"/>
                          </pic:cNvPicPr>
                        </pic:nvPicPr>
                        <pic:blipFill>
                          <a:blip r:embed="rId437"/>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40"/>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41"/>
    <w:bookmarkEnd w:id="442"/>
    <w:bookmarkEnd w:id="443"/>
    <w:bookmarkStart w:id="449" w:name="aufgabenstellung-1"/>
    <w:p>
      <w:pPr>
        <w:pStyle w:val="Heading2"/>
      </w:pPr>
      <w:r>
        <w:t xml:space="preserve">6.3 Aufgabenstellung</w:t>
      </w:r>
    </w:p>
    <w:p>
      <w:pPr>
        <w:pStyle w:val="FirstParagraph"/>
      </w:pPr>
      <w:r>
        <w:t xml:space="preserve">Hier werden einige Ideen für die Aufgabenstellung gegeben.</w:t>
      </w:r>
    </w:p>
    <w:bookmarkStart w:id="444"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4"/>
    <w:bookmarkStart w:id="445"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5"/>
    <w:bookmarkStart w:id="446"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6"/>
    <w:bookmarkStart w:id="447"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7"/>
    <w:bookmarkStart w:id="448"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8"/>
    <w:bookmarkEnd w:id="449"/>
    <w:bookmarkEnd w:id="450"/>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4" w:name="fig-svf_sch"/>
          <w:p>
            <w:pPr>
              <w:pStyle w:val="Compact"/>
              <w:jc w:val="center"/>
            </w:pPr>
            <w:r>
              <w:drawing>
                <wp:inline>
                  <wp:extent cx="5334000" cy="1952975"/>
                  <wp:effectExtent b="0" l="0" r="0" t="0"/>
                  <wp:docPr descr="" title="" id="452" name="Picture"/>
                  <a:graphic>
                    <a:graphicData uri="http://schemas.openxmlformats.org/drawingml/2006/picture">
                      <pic:pic>
                        <pic:nvPicPr>
                          <pic:cNvPr descr="Projekte/SVF/SVF_Circuit.png" id="453" name="Picture"/>
                          <pic:cNvPicPr>
                            <a:picLocks noChangeArrowheads="1" noChangeAspect="1"/>
                          </pic:cNvPicPr>
                        </pic:nvPicPr>
                        <pic:blipFill>
                          <a:blip r:embed="rId451"/>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4"/>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6" w:name="ref-BJT_Kennlinie"/>
    <w:p>
      <w:pPr>
        <w:pStyle w:val="Bibliography"/>
      </w:pPr>
      <w:r>
        <w:t xml:space="preserve">1.</w:t>
      </w:r>
      <w:r>
        <w:t xml:space="preserve"> </w:t>
      </w:r>
      <w:r>
        <w:t xml:space="preserve">	</w:t>
      </w:r>
      <w:r>
        <w:t xml:space="preserve">Biezl V Bipolartransistor Kennlinienfeld.</w:t>
      </w:r>
      <w:r>
        <w:t xml:space="preserve"> </w:t>
      </w:r>
      <w:hyperlink r:id="rId455">
        <w:r>
          <w:rPr>
            <w:rStyle w:val="Hyperlink"/>
          </w:rPr>
          <w:t xml:space="preserve">https://commons.wikimedia.org/w/index.php?curid=7329334</w:t>
        </w:r>
      </w:hyperlink>
      <w:r>
        <w:t xml:space="preserve">. Accessed 19 Nov 2023</w:t>
      </w:r>
    </w:p>
    <w:bookmarkEnd w:id="456"/>
    <w:bookmarkStart w:id="457"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7"/>
    <w:bookmarkStart w:id="459" w:name="ref-DC-Motor_Market"/>
    <w:p>
      <w:pPr>
        <w:pStyle w:val="Bibliography"/>
      </w:pPr>
      <w:r>
        <w:t xml:space="preserve">3.</w:t>
      </w:r>
      <w:r>
        <w:t xml:space="preserve"> </w:t>
      </w:r>
      <w:r>
        <w:t xml:space="preserve">	</w:t>
      </w:r>
      <w:r>
        <w:t xml:space="preserve">Transparency Market Reserach Inc DC Motors Market.</w:t>
      </w:r>
      <w:r>
        <w:t xml:space="preserve"> </w:t>
      </w:r>
      <w:hyperlink r:id="rId458">
        <w:r>
          <w:rPr>
            <w:rStyle w:val="Hyperlink"/>
          </w:rPr>
          <w:t xml:space="preserve">https://www.transparencymarketresearch.com/dc-motors-market.html</w:t>
        </w:r>
      </w:hyperlink>
      <w:r>
        <w:t xml:space="preserve">. Accessed 13 Dez 2023</w:t>
      </w:r>
    </w:p>
    <w:bookmarkEnd w:id="459"/>
    <w:bookmarkStart w:id="461" w:name="ref-HBruecke"/>
    <w:p>
      <w:pPr>
        <w:pStyle w:val="Bibliography"/>
      </w:pPr>
      <w:r>
        <w:t xml:space="preserve">4.</w:t>
      </w:r>
      <w:r>
        <w:t xml:space="preserve"> </w:t>
      </w:r>
      <w:r>
        <w:t xml:space="preserve">	</w:t>
      </w:r>
      <w:r>
        <w:t xml:space="preserve">Biezl V Vierquadrantensteller steuert Gleichstrommotor.</w:t>
      </w:r>
      <w:r>
        <w:t xml:space="preserve"> </w:t>
      </w:r>
      <w:hyperlink r:id="rId460">
        <w:r>
          <w:rPr>
            <w:rStyle w:val="Hyperlink"/>
          </w:rPr>
          <w:t xml:space="preserve">https://commons.wikimedia.org/w/index.php?curid=4792919</w:t>
        </w:r>
      </w:hyperlink>
      <w:r>
        <w:t xml:space="preserve">. Accessed 13 Dez 2023</w:t>
      </w:r>
    </w:p>
    <w:bookmarkEnd w:id="461"/>
    <w:bookmarkStart w:id="463"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2">
        <w:r>
          <w:rPr>
            <w:rStyle w:val="Hyperlink"/>
          </w:rPr>
          <w:t xml:space="preserve">https://www.infineon.com/dgdl/Infineon-TLE7182EM-DS-v01_01-en.pdf?fileId=db3a30432f5008fe012f5442920c3996</w:t>
        </w:r>
      </w:hyperlink>
      <w:r>
        <w:t xml:space="preserve">. Accessed 1 Feb 2024</w:t>
      </w:r>
    </w:p>
    <w:bookmarkEnd w:id="463"/>
    <w:bookmarkStart w:id="465" w:name="ref-LogicDriverL99H02"/>
    <w:p>
      <w:pPr>
        <w:pStyle w:val="Bibliography"/>
      </w:pPr>
      <w:r>
        <w:t xml:space="preserve">6.</w:t>
      </w:r>
      <w:r>
        <w:t xml:space="preserve"> </w:t>
      </w:r>
      <w:r>
        <w:t xml:space="preserve">	</w:t>
      </w:r>
      <w:r>
        <w:t xml:space="preserve">Microelectronics S L99H02 Motor bridge driver.</w:t>
      </w:r>
      <w:r>
        <w:t xml:space="preserve"> </w:t>
      </w:r>
      <w:hyperlink r:id="rId464">
        <w:r>
          <w:rPr>
            <w:rStyle w:val="Hyperlink"/>
          </w:rPr>
          <w:t xml:space="preserve">https://www.st.com/en/automotive-analog-and-power/l99h02.html</w:t>
        </w:r>
      </w:hyperlink>
      <w:r>
        <w:t xml:space="preserve">. Accessed 1 Feb 2024</w:t>
      </w:r>
    </w:p>
    <w:bookmarkEnd w:id="465"/>
    <w:bookmarkStart w:id="467" w:name="ref-LogicDriverBridgeIFX9201SG"/>
    <w:p>
      <w:pPr>
        <w:pStyle w:val="Bibliography"/>
      </w:pPr>
      <w:r>
        <w:t xml:space="preserve">7.</w:t>
      </w:r>
      <w:r>
        <w:t xml:space="preserve"> </w:t>
      </w:r>
      <w:r>
        <w:t xml:space="preserve">	</w:t>
      </w:r>
      <w:r>
        <w:t xml:space="preserve">Technologies I IFX9201SG 6 A H-Bridge.</w:t>
      </w:r>
      <w:r>
        <w:t xml:space="preserve"> </w:t>
      </w:r>
      <w:hyperlink r:id="rId466">
        <w:r>
          <w:rPr>
            <w:rStyle w:val="Hyperlink"/>
          </w:rPr>
          <w:t xml:space="preserve">https://www.infineon.com/dgdl/Infineon-IFX9201SG-DS-v01_01-EN.pdf?fileId=5546d4624cb7f111014d2e8916795dea</w:t>
        </w:r>
      </w:hyperlink>
      <w:r>
        <w:t xml:space="preserve">. Accessed 1 Feb 2024</w:t>
      </w:r>
    </w:p>
    <w:bookmarkEnd w:id="467"/>
    <w:bookmarkStart w:id="469" w:name="ref-LogicDriverBridgeL298"/>
    <w:p>
      <w:pPr>
        <w:pStyle w:val="Bibliography"/>
      </w:pPr>
      <w:r>
        <w:t xml:space="preserve">8.</w:t>
      </w:r>
      <w:r>
        <w:t xml:space="preserve"> </w:t>
      </w:r>
      <w:r>
        <w:t xml:space="preserve">	</w:t>
      </w:r>
      <w:r>
        <w:t xml:space="preserve">Microelectronics S L298 Dual Full Bridge Driver.</w:t>
      </w:r>
      <w:r>
        <w:t xml:space="preserve"> </w:t>
      </w:r>
      <w:hyperlink r:id="rId468">
        <w:r>
          <w:rPr>
            <w:rStyle w:val="Hyperlink"/>
          </w:rPr>
          <w:t xml:space="preserve">https://www.st.com/resource/en/datasheet/l298.pdf</w:t>
        </w:r>
      </w:hyperlink>
      <w:r>
        <w:t xml:space="preserve">. Accessed 1 Feb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51" Target="media/rId351.png" /><Relationship Type="http://schemas.openxmlformats.org/officeDocument/2006/relationships/image" Id="rId330" Target="media/rId330.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6" Target="media/rId336.png" /><Relationship Type="http://schemas.openxmlformats.org/officeDocument/2006/relationships/image" Id="rId347" Target="media/rId347.png" /><Relationship Type="http://schemas.openxmlformats.org/officeDocument/2006/relationships/image" Id="rId343" Target="media/rId343.png" /><Relationship Type="http://schemas.openxmlformats.org/officeDocument/2006/relationships/image" Id="rId295" Target="media/rId295.png" /><Relationship Type="http://schemas.openxmlformats.org/officeDocument/2006/relationships/image" Id="rId379" Target="media/rId379.png" /><Relationship Type="http://schemas.openxmlformats.org/officeDocument/2006/relationships/image" Id="rId414" Target="media/rId414.png" /><Relationship Type="http://schemas.openxmlformats.org/officeDocument/2006/relationships/image" Id="rId404" Target="media/rId404.png" /><Relationship Type="http://schemas.openxmlformats.org/officeDocument/2006/relationships/image" Id="rId360" Target="media/rId360.png" /><Relationship Type="http://schemas.openxmlformats.org/officeDocument/2006/relationships/image" Id="rId389" Target="media/rId389.png" /><Relationship Type="http://schemas.openxmlformats.org/officeDocument/2006/relationships/image" Id="rId437" Target="media/rId437.png" /><Relationship Type="http://schemas.openxmlformats.org/officeDocument/2006/relationships/image" Id="rId428" Target="media/rId428.png" /><Relationship Type="http://schemas.openxmlformats.org/officeDocument/2006/relationships/image" Id="rId422" Target="media/rId422.png" /><Relationship Type="http://schemas.openxmlformats.org/officeDocument/2006/relationships/image" Id="rId418" Target="media/rId418.png" /><Relationship Type="http://schemas.openxmlformats.org/officeDocument/2006/relationships/image" Id="rId408" Target="media/rId408.png" /><Relationship Type="http://schemas.openxmlformats.org/officeDocument/2006/relationships/image" Id="rId368" Target="media/rId368.png" /><Relationship Type="http://schemas.openxmlformats.org/officeDocument/2006/relationships/image" Id="rId432" Target="media/rId432.png" /><Relationship Type="http://schemas.openxmlformats.org/officeDocument/2006/relationships/image" Id="rId451" Target="media/rId451.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60" Target="https://commons.wikimedia.org/w/index.php?curid=4792919" TargetMode="External" /><Relationship Type="http://schemas.openxmlformats.org/officeDocument/2006/relationships/hyperlink" Id="rId455" Target="https://commons.wikimedia.org/w/index.php?curid=7329334" TargetMode="External" /><Relationship Type="http://schemas.openxmlformats.org/officeDocument/2006/relationships/hyperlink" Id="rId365" Target="https://de.wikipedia.org/wiki/Laplace-Transformation" TargetMode="External" /><Relationship Type="http://schemas.openxmlformats.org/officeDocument/2006/relationships/hyperlink" Id="rId364"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8"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6" Target="https://www.infineon.com/dgdl/Infineon-IFX9201SG-DS-v01_01-EN.pdf?fileId=5546d4624cb7f111014d2e8916795dea" TargetMode="External" /><Relationship Type="http://schemas.openxmlformats.org/officeDocument/2006/relationships/hyperlink" Id="rId462" Target="https://www.infineon.com/dgdl/Infineon-TLE7182EM-DS-v01_01-en.pdf?fileId=db3a30432f5008fe012f5442920c3996" TargetMode="External" /><Relationship Type="http://schemas.openxmlformats.org/officeDocument/2006/relationships/hyperlink" Id="rId464" Target="https://www.st.com/en/automotive-analog-and-power/l99h02.html" TargetMode="External" /><Relationship Type="http://schemas.openxmlformats.org/officeDocument/2006/relationships/hyperlink" Id="rId468" Target="https://www.st.com/resource/en/datasheet/l298.pdf" TargetMode="External" /><Relationship Type="http://schemas.openxmlformats.org/officeDocument/2006/relationships/hyperlink" Id="rId458"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2025-04-10T16:22:02Z</dcterms:created>
  <dcterms:modified xsi:type="dcterms:W3CDTF">2025-04-10T16:22:02Z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2025-04-10</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