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4.svgz" ContentType="image/svg+xml"/>
  <Override PartName="/word/media/rId90.png" ContentType="image/png"/>
  <Override PartName="/word/media/rId98.svgz" ContentType="image/svg+xml"/>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239.png" ContentType="image/png"/>
  <Override PartName="/word/media/rId220.png" ContentType="image/png"/>
  <Override PartName="/word/media/rId192.png" ContentType="image/png"/>
  <Override PartName="/word/media/rId206.png" ContentType="image/png"/>
  <Override PartName="/word/media/rId196.png" ContentType="image/png"/>
  <Override PartName="/word/media/rId201.png" ContentType="image/png"/>
  <Override PartName="/word/media/rId226.png" ContentType="image/png"/>
  <Override PartName="/word/media/rId235.png" ContentType="image/png"/>
  <Override PartName="/word/media/rId231.png" ContentType="image/png"/>
  <Override PartName="/word/media/rId188.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2024-01-19</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m:oMath>
        <m:r>
          <m:t>Y</m:t>
        </m:r>
      </m:oMath>
      <w:r>
        <w:t xml:space="preserve"> </w:t>
      </w:r>
      <w:r>
        <w:t xml:space="preserve">… Y Ausgang</w:t>
      </w:r>
    </w:p>
    <w:p>
      <w:pPr>
        <w:pStyle w:val="BodyText"/>
      </w:pPr>
      <m:oMath>
        <m:r>
          <m:t>A</m:t>
        </m:r>
      </m:oMath>
      <w:r>
        <w:t xml:space="preserve"> </w:t>
      </w:r>
      <w:r>
        <w:t xml:space="preserve">… A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10000"/>
                  <wp:effectExtent b="0" l="0" r="0" t="0"/>
                  <wp:docPr descr="" title="" id="95" name="Picture"/>
                  <a:graphic>
                    <a:graphicData uri="http://schemas.openxmlformats.org/drawingml/2006/picture">
                      <pic:pic>
                        <pic:nvPicPr>
                          <pic:cNvPr descr="Projekte/Grafiken/03_DCSweepVorspannung.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47"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87">
        <w:r>
          <w:rPr>
            <w:rStyle w:val="Hyperlink"/>
          </w:rPr>
          <w:t xml:space="preserve">Hierarchisches Design</w:t>
        </w:r>
      </w:hyperlink>
    </w:p>
    <w:bookmarkStart w:id="212"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1" w:name="fig-H-Bruecke"/>
          <w:p>
            <w:pPr>
              <w:jc w:val="center"/>
            </w:pPr>
            <w:r>
              <w:drawing>
                <wp:inline>
                  <wp:extent cx="2787960" cy="3593655"/>
                  <wp:effectExtent b="0" l="0" r="0" t="0"/>
                  <wp:docPr descr="" title="" id="189" name="Picture"/>
                  <a:graphic>
                    <a:graphicData uri="http://schemas.openxmlformats.org/drawingml/2006/picture">
                      <pic:pic>
                        <pic:nvPicPr>
                          <pic:cNvPr descr="Projekte/Grafiken/Hbruecke/Vierquadrantensteller.png" id="190" name="Picture"/>
                          <pic:cNvPicPr>
                            <a:picLocks noChangeArrowheads="1" noChangeAspect="1"/>
                          </pic:cNvPicPr>
                        </pic:nvPicPr>
                        <pic:blipFill>
                          <a:blip r:embed="rId188"/>
                          <a:stretch>
                            <a:fillRect/>
                          </a:stretch>
                        </pic:blipFill>
                        <pic:spPr bwMode="auto">
                          <a:xfrm>
                            <a:off x="0" y="0"/>
                            <a:ext cx="2787960" cy="35936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1"/>
        </w:tc>
      </w:tr>
    </w:tbl>
    <w:bookmarkStart w:id="211"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5" w:name="fig-H-BrueckeMS"/>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0"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199" w:name="fig-H-BrueckeMSLL"/>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LL.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199"/>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0"/>
    <w:bookmarkStart w:id="205"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4" w:name="fig-H-BrueckeMSRL"/>
          <w:p>
            <w:pPr>
              <w:jc w:val="center"/>
            </w:pPr>
            <w:r>
              <w:drawing>
                <wp:inline>
                  <wp:extent cx="3556000" cy="3759200"/>
                  <wp:effectExtent b="0" l="0" r="0" t="0"/>
                  <wp:docPr descr="" title="" id="202" name="Picture"/>
                  <a:graphic>
                    <a:graphicData uri="http://schemas.openxmlformats.org/drawingml/2006/picture">
                      <pic:pic>
                        <pic:nvPicPr>
                          <pic:cNvPr descr="Projekte/Grafiken/Hbruecke/MitSchalternRL.png" id="203" name="Picture"/>
                          <pic:cNvPicPr>
                            <a:picLocks noChangeArrowheads="1" noChangeAspect="1"/>
                          </pic:cNvPicPr>
                        </pic:nvPicPr>
                        <pic:blipFill>
                          <a:blip r:embed="rId2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4"/>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5"/>
    <w:bookmarkStart w:id="210"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09" w:name="fig-H-BrueckeMSBremse"/>
          <w:p>
            <w:pPr>
              <w:jc w:val="center"/>
            </w:pPr>
            <w:r>
              <w:drawing>
                <wp:inline>
                  <wp:extent cx="3556000" cy="3759200"/>
                  <wp:effectExtent b="0" l="0" r="0" t="0"/>
                  <wp:docPr descr="" title="" id="207" name="Picture"/>
                  <a:graphic>
                    <a:graphicData uri="http://schemas.openxmlformats.org/drawingml/2006/picture">
                      <pic:pic>
                        <pic:nvPicPr>
                          <pic:cNvPr descr="Projekte/Grafiken/Hbruecke/MitSchalternBremse.png" id="208" name="Picture"/>
                          <pic:cNvPicPr>
                            <a:picLocks noChangeArrowheads="1" noChangeAspect="1"/>
                          </pic:cNvPicPr>
                        </pic:nvPicPr>
                        <pic:blipFill>
                          <a:blip r:embed="rId2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09"/>
        </w:tc>
      </w:tr>
    </w:tbl>
    <w:bookmarkEnd w:id="210"/>
    <w:bookmarkEnd w:id="211"/>
    <w:bookmarkEnd w:id="212"/>
    <w:bookmarkStart w:id="225" w:name="entwicklung-der-logik"/>
    <w:p>
      <w:pPr>
        <w:pStyle w:val="Heading2"/>
      </w:pPr>
      <w:r>
        <w:t xml:space="preserve">4.2 Entwicklung der Logik</w:t>
      </w:r>
    </w:p>
    <w:bookmarkStart w:id="217" w:name="X6f5f7d6d4e9bc1471e66f0006b7d95fb04c20b4"/>
    <w:p>
      <w:pPr>
        <w:pStyle w:val="Heading3"/>
      </w:pPr>
      <w:r>
        <w:t xml:space="preserve">4.2.1 Von der Wahrheitstabelle zur Booleschen Gleichung</w:t>
      </w:r>
    </w:p>
    <w:p>
      <w:pPr>
        <w:pStyle w:val="FirstParagraph"/>
      </w:pPr>
      <w:r>
        <w:t xml:space="preserve">Zunächst muss in der Zuordnungstabelle der Zusammenhang zwischen dem logischen Zustand und dem physikalischen Wert definiert werden.</w:t>
      </w:r>
    </w:p>
    <w:bookmarkStart w:id="213"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3"/>
    <w:p>
      <w:pPr>
        <w:pStyle w:val="BodyText"/>
      </w:pPr>
      <w:r>
        <w:t xml:space="preserve">In der Wahrheitstabelle wird nun der Schaltzustand der Ausgänge in Abhängigkeit der Eingänge definiert.</w:t>
      </w:r>
    </w:p>
    <w:p>
      <w:pPr>
        <w:pStyle w:val="TableCaption"/>
      </w:pPr>
      <w:r>
        <w:t xml:space="preserve">Wahrheitstabelle</w:t>
      </w:r>
      <w:r>
        <w:t xml:space="preserve"> </w:t>
      </w:r>
    </w:p>
    <w:tbl>
      <w:tblPr>
        <w:tblStyle w:val="Table"/>
        <w:tblW w:type="auto" w:w="0"/>
        <w:tblLook w:firstRow="1" w:lastRow="0" w:firstColumn="0" w:lastColumn="0" w:noHBand="0" w:noVBand="0" w:val="0020"/>
        <w:jc w:val="start"/>
        <w:tblCaption w:val="Wahrheitstabelle "/>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C:\Program Files\Quarto\share\formats\docx\note.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t>P</m:t>
        </m:r>
        <m:r>
          <m:rPr>
            <m:sty m:val="p"/>
          </m:rPr>
          <m:t>∧</m:t>
        </m:r>
        <m:r>
          <m:rPr>
            <m:sty m:val="p"/>
          </m:rPr>
          <m:t>¬</m:t>
        </m:r>
        <m:r>
          <m:t>B</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 erstellt und mit der oben definierten Wahrheitstabelle verglichen.</w:t>
      </w:r>
    </w:p>
    <w:bookmarkStart w:id="216" w:name="tbl-wahrheitstabellekont"/>
    <w:p>
      <w:pPr>
        <w:pStyle w:val="TableCaption"/>
      </w:pPr>
      <w:r>
        <w:t xml:space="preserve">Tabelle 4.2: Wahrheitstabelle Kontrolle</w:t>
      </w:r>
    </w:p>
    <w:tbl>
      <w:tblPr>
        <w:tblStyle w:val="Table"/>
        <w:tblW w:type="auto" w:w="0"/>
        <w:tblLook w:firstRow="1" w:lastRow="0" w:firstColumn="0" w:lastColumn="0" w:noHBand="0" w:noVBand="0" w:val="0020"/>
        <w:jc w:val="start"/>
        <w:tblCaption w:val="Tabelle 4.2: Wahrheitstabelle Kontrolle"/>
      </w:tblPr>
      <w:tblGrid>
        <w:gridCol w:w="990"/>
        <w:gridCol w:w="990"/>
        <w:gridCol w:w="990"/>
        <w:gridCol w:w="990"/>
        <w:gridCol w:w="990"/>
        <w:gridCol w:w="990"/>
        <w:gridCol w:w="990"/>
        <w:gridCol w:w="99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6"/>
    <w:p>
      <w:pPr>
        <w:pStyle w:val="BodyText"/>
      </w:pPr>
      <w:r>
        <w:t xml:space="preserve">Die Tabellen stimmen überein. Die Gleichungen sind somit richtig.</w:t>
      </w:r>
    </w:p>
    <w:bookmarkEnd w:id="217"/>
    <w:bookmarkStart w:id="224" w:name="schaltung-1"/>
    <w:p>
      <w:pPr>
        <w:pStyle w:val="Heading3"/>
      </w:pPr>
      <w:r>
        <w:t xml:space="preserve">4.2.2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4.6</w:t>
        </w:r>
      </w:hyperlink>
      <w:r>
        <w:t xml:space="preserve"> </w:t>
      </w:r>
      <w:r>
        <w:t xml:space="preserve">dargestellt. In einer modernen Anwendung würde die Logik mittels Mikrocontroller realisiert werden. Quartus oder PSoC creator bieten hier Lösungen an. In Quartus lässt sich die Logik aus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C:\Program Files\Quarto\share\formats\docx\note.png" id="21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Pr>
      <w:tblGrid>
        <w:gridCol w:w="7920"/>
      </w:tblGrid>
      <w:tr>
        <w:tc>
          <w:tcPr/>
          <w:bookmarkStart w:id="223" w:name="fig-LogikSchaltung"/>
          <w:p>
            <w:pPr>
              <w:jc w:val="center"/>
            </w:pPr>
            <w:r>
              <w:drawing>
                <wp:inline>
                  <wp:extent cx="5334000" cy="7294785"/>
                  <wp:effectExtent b="0" l="0" r="0" t="0"/>
                  <wp:docPr descr="" title="" id="221" name="Picture"/>
                  <a:graphic>
                    <a:graphicData uri="http://schemas.openxmlformats.org/drawingml/2006/picture">
                      <pic:pic>
                        <pic:nvPicPr>
                          <pic:cNvPr descr="Projekte/Grafiken/Hbruecke/LogicCirciut.png" id="222" name="Picture"/>
                          <pic:cNvPicPr>
                            <a:picLocks noChangeArrowheads="1" noChangeAspect="1"/>
                          </pic:cNvPicPr>
                        </pic:nvPicPr>
                        <pic:blipFill>
                          <a:blip r:embed="rId220"/>
                          <a:stretch>
                            <a:fillRect/>
                          </a:stretch>
                        </pic:blipFill>
                        <pic:spPr bwMode="auto">
                          <a:xfrm>
                            <a:off x="0" y="0"/>
                            <a:ext cx="5334000" cy="729478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Logikschaltung mit TTL</w:t>
            </w:r>
          </w:p>
          <w:bookmarkEnd w:id="223"/>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224"/>
    <w:bookmarkEnd w:id="225"/>
    <w:bookmarkStart w:id="230" w:name="ansteuerung-der-h-brücke"/>
    <w:p>
      <w:pPr>
        <w:pStyle w:val="Heading2"/>
      </w:pPr>
      <w:r>
        <w:t xml:space="preserve">4.3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p>
      <w:pPr>
        <w:pStyle w:val="BodyText"/>
      </w:pPr>
      <w:r>
        <w:t xml:space="preserve">Diese Anpassung lässt sich mittels OPV’s realisieren, welche mit der Zwischenkreisspannung, diese liegt am Source Eingang von T1 und T3 an, und Ground versorgt werden. Das TTL Signal wird am negativen Eingang des OPV angelegt um die invertierung zu erreichen. Der OPV verstärkt das Signal und liefert am Ausgang das gewünschte Potential. Die Schaltung ist in</w:t>
      </w:r>
      <w:r>
        <w:t xml:space="preserve"> </w:t>
      </w:r>
      <w:hyperlink w:anchor="fig-OPV-Schaltung">
        <w:r>
          <w:rPr>
            <w:rStyle w:val="Hyperlink"/>
          </w:rPr>
          <w:t xml:space="preserve">Abbildung 4.7</w:t>
        </w:r>
      </w:hyperlink>
      <w:r>
        <w:t xml:space="preserve"> </w:t>
      </w:r>
      <w:r>
        <w:t xml:space="preserve">dargestellt. Da das Ausgangssignal der TTL Schaltung nicht genau 0 V beträgt wird am positiven Eingang eine Referenzspannung von 2 V angelegt. Als OPV’s müssen Rail to Rail OPV’s verwendet werden. Diese können bis auf 0 V herunter schalten. Werden andere verwendet schalten die Mosfets nicht ganz durch und es kommt zu Leistungsverlusten.</w:t>
      </w:r>
    </w:p>
    <w:tbl>
      <w:tblPr>
        <w:tblStyle w:val="Table"/>
        <w:tblW w:type="pct" w:w="5000"/>
        <w:tblLook w:firstRow="0" w:lastRow="0" w:firstColumn="0" w:lastColumn="0" w:noHBand="0" w:noVBand="0" w:val="0000"/>
        <w:jc w:val="start"/>
      </w:tblPr>
      <w:tblGrid>
        <w:gridCol w:w="7920"/>
      </w:tblGrid>
      <w:tr>
        <w:tc>
          <w:tcPr/>
          <w:bookmarkStart w:id="229" w:name="fig-OPV-Schaltung"/>
          <w:p>
            <w:pPr>
              <w:jc w:val="center"/>
            </w:pPr>
            <w:r>
              <w:drawing>
                <wp:inline>
                  <wp:extent cx="5334000" cy="3038828"/>
                  <wp:effectExtent b="0" l="0" r="0" t="0"/>
                  <wp:docPr descr="" title="" id="227" name="Picture"/>
                  <a:graphic>
                    <a:graphicData uri="http://schemas.openxmlformats.org/drawingml/2006/picture">
                      <pic:pic>
                        <pic:nvPicPr>
                          <pic:cNvPr descr="Projekte/Grafiken/Hbruecke/OPV-Schaltung.png" id="228" name="Picture"/>
                          <pic:cNvPicPr>
                            <a:picLocks noChangeArrowheads="1" noChangeAspect="1"/>
                          </pic:cNvPicPr>
                        </pic:nvPicPr>
                        <pic:blipFill>
                          <a:blip r:embed="rId226"/>
                          <a:stretch>
                            <a:fillRect/>
                          </a:stretch>
                        </pic:blipFill>
                        <pic:spPr bwMode="auto">
                          <a:xfrm>
                            <a:off x="0" y="0"/>
                            <a:ext cx="5334000" cy="30388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OPV Schaltung</w:t>
            </w:r>
          </w:p>
          <w:bookmarkEnd w:id="229"/>
        </w:tc>
      </w:tr>
    </w:tbl>
    <w:bookmarkEnd w:id="230"/>
    <w:bookmarkStart w:id="245" w:name="simulation-der-h-brücke"/>
    <w:p>
      <w:pPr>
        <w:pStyle w:val="Heading2"/>
      </w:pPr>
      <w:r>
        <w:t xml:space="preserve">4.4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4.8</w:t>
        </w:r>
      </w:hyperlink>
      <w:r>
        <w:t xml:space="preserve"> </w:t>
      </w:r>
      <w:r>
        <w:t xml:space="preserve">dargestellt. Der Motor kann über das einfache Modell</w:t>
      </w:r>
      <w:r>
        <w:t xml:space="preserve"> </w:t>
      </w:r>
      <w:hyperlink w:anchor="fig-SimpleMotorModel">
        <w:r>
          <w:rPr>
            <w:rStyle w:val="Hyperlink"/>
          </w:rPr>
          <w:t xml:space="preserve">Abbildung 4.9</w:t>
        </w:r>
      </w:hyperlink>
      <w:r>
        <w:t xml:space="preserve"> </w:t>
      </w:r>
      <w:r>
        <w:t xml:space="preserve">simuliert werden. Das erweiterte Modell</w:t>
      </w:r>
      <w:r>
        <w:t xml:space="preserve"> </w:t>
      </w:r>
      <w:hyperlink w:anchor="fig-ExtendedMotorModel">
        <w:r>
          <w:rPr>
            <w:rStyle w:val="Hyperlink"/>
          </w:rPr>
          <w:t xml:space="preserve">Abbildung 4.10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Pr>
      <w:tblGrid>
        <w:gridCol w:w="7920"/>
      </w:tblGrid>
      <w:tr>
        <w:tc>
          <w:tcPr/>
          <w:bookmarkStart w:id="234" w:name="fig-TopSheet"/>
          <w:p>
            <w:pPr>
              <w:jc w:val="center"/>
            </w:pPr>
            <w:r>
              <w:drawing>
                <wp:inline>
                  <wp:extent cx="5334000" cy="2734116"/>
                  <wp:effectExtent b="0" l="0" r="0" t="0"/>
                  <wp:docPr descr="" title="" id="232" name="Picture"/>
                  <a:graphic>
                    <a:graphicData uri="http://schemas.openxmlformats.org/drawingml/2006/picture">
                      <pic:pic>
                        <pic:nvPicPr>
                          <pic:cNvPr descr="Projekte/Grafiken/Hbruecke/TopSheet.png" id="233" name="Picture"/>
                          <pic:cNvPicPr>
                            <a:picLocks noChangeArrowheads="1" noChangeAspect="1"/>
                          </pic:cNvPicPr>
                        </pic:nvPicPr>
                        <pic:blipFill>
                          <a:blip r:embed="rId231"/>
                          <a:stretch>
                            <a:fillRect/>
                          </a:stretch>
                        </pic:blipFill>
                        <pic:spPr bwMode="auto">
                          <a:xfrm>
                            <a:off x="0" y="0"/>
                            <a:ext cx="5334000" cy="273411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Zusammengeführte Schaltung</w:t>
            </w:r>
          </w:p>
          <w:bookmarkEnd w:id="23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38" w:name="fig-SimpleMotorModel"/>
          <w:p>
            <w:pPr>
              <w:jc w:val="center"/>
            </w:pPr>
            <w:r>
              <w:drawing>
                <wp:inline>
                  <wp:extent cx="1157387" cy="2097365"/>
                  <wp:effectExtent b="0" l="0" r="0" t="0"/>
                  <wp:docPr descr="" title="" id="236" name="Picture"/>
                  <a:graphic>
                    <a:graphicData uri="http://schemas.openxmlformats.org/drawingml/2006/picture">
                      <pic:pic>
                        <pic:nvPicPr>
                          <pic:cNvPr descr="Projekte/Grafiken/Hbruecke/SimpleMotorModel.png" id="237" name="Picture"/>
                          <pic:cNvPicPr>
                            <a:picLocks noChangeArrowheads="1" noChangeAspect="1"/>
                          </pic:cNvPicPr>
                        </pic:nvPicPr>
                        <pic:blipFill>
                          <a:blip r:embed="rId23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Einfaches Motormodel</w:t>
            </w:r>
          </w:p>
          <w:bookmarkEnd w:id="23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42" w:name="fig-ExtendedMotorModel"/>
          <w:p>
            <w:pPr>
              <w:jc w:val="center"/>
            </w:pPr>
            <w:r>
              <w:drawing>
                <wp:inline>
                  <wp:extent cx="4267200" cy="4003721"/>
                  <wp:effectExtent b="0" l="0" r="0" t="0"/>
                  <wp:docPr descr="" title="" id="240" name="Picture"/>
                  <a:graphic>
                    <a:graphicData uri="http://schemas.openxmlformats.org/drawingml/2006/picture">
                      <pic:pic>
                        <pic:nvPicPr>
                          <pic:cNvPr descr="Projekte/Grafiken/Hbruecke/AdvancedMotorModel.png" id="241" name="Picture"/>
                          <pic:cNvPicPr>
                            <a:picLocks noChangeArrowheads="1" noChangeAspect="1"/>
                          </pic:cNvPicPr>
                        </pic:nvPicPr>
                        <pic:blipFill>
                          <a:blip r:embed="rId23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Erweitertes Motormodel,</w:t>
            </w:r>
            <w:r>
              <w:t xml:space="preserve"> </w:t>
            </w:r>
            <w:r>
              <w:t xml:space="preserve">[5]</w:t>
            </w:r>
          </w:p>
          <w:bookmarkEnd w:id="242"/>
        </w:tc>
      </w:tr>
    </w:tbl>
    <w:p>
      <w:pPr>
        <w:pStyle w:val="BodyText"/>
      </w:pPr>
      <w:r>
        <w:t xml:space="preserve">Nun können die Betriebzustände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C:\Program Files\Quarto\share\formats\docx\note.png" id="24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Nicht alle Betriebszustände konnten mit Altium simuliert werden wenn sowohl die Logik als auch die H-Brücke mit Motormodel berücksichtig wurde. Speziell das höherfrequente PWM Signal führte zu Fehlern in der Simulation. Auch konnte die Drehrichtung bei verwendung des erweiterten Motormodells nicht gewechselt werden, ohne einen Fehler in der Simulation zu verursachen. Jeder Hinweis zu einer Lösung des Problems wird dankend entgegen genommen!</w:t>
            </w:r>
          </w:p>
        </w:tc>
      </w:tr>
    </w:tbl>
    <w:p>
      <w:pPr>
        <w:pStyle w:val="BodyText"/>
      </w:pPr>
      <w:r>
        <w:t xml:space="preserve">Aufgrund der oben beschriebenen Sitaution in Altium wird der einfluss von PWM, hochfrequente Schaltvorgänge, getrennt betrachtet.</w:t>
      </w:r>
    </w:p>
    <w:bookmarkEnd w:id="245"/>
    <w:bookmarkStart w:id="246" w:name="pwm-und-induktive-lasten"/>
    <w:p>
      <w:pPr>
        <w:pStyle w:val="Heading2"/>
      </w:pPr>
      <w:r>
        <w:t xml:space="preserve">4.5 PWM und induktive Lasten</w:t>
      </w:r>
    </w:p>
    <w:p>
      <w:pPr>
        <w:pStyle w:val="FirstParagraph"/>
      </w:pPr>
      <w:r>
        <w:rPr>
          <w:bCs/>
          <w:b/>
        </w:rPr>
        <w:t xml:space="preserve">To Be Continued</w:t>
      </w:r>
    </w:p>
    <w:bookmarkEnd w:id="246"/>
    <w:bookmarkEnd w:id="247"/>
    <w:bookmarkStart w:id="258" w:name="references"/>
    <w:p>
      <w:pPr>
        <w:pStyle w:val="Heading1"/>
      </w:pPr>
      <w:r>
        <w:t xml:space="preserve">References</w:t>
      </w:r>
    </w:p>
    <w:bookmarkStart w:id="257" w:name="refs"/>
    <w:bookmarkStart w:id="249" w:name="ref-BJT_Kennlinie"/>
    <w:p>
      <w:pPr>
        <w:pStyle w:val="Bibliography"/>
      </w:pPr>
      <w:r>
        <w:t xml:space="preserve">1.</w:t>
      </w:r>
      <w:r>
        <w:t xml:space="preserve"> </w:t>
      </w:r>
      <w:r>
        <w:t xml:space="preserve">	</w:t>
      </w:r>
      <w:r>
        <w:t xml:space="preserve">Biezl V Bipolartransistor Kennlinienfeld.</w:t>
      </w:r>
      <w:r>
        <w:t xml:space="preserve"> </w:t>
      </w:r>
      <w:hyperlink r:id="rId248">
        <w:r>
          <w:rPr>
            <w:rStyle w:val="Hyperlink"/>
          </w:rPr>
          <w:t xml:space="preserve">https://commons.wikimedia.org/w/index.php?curid=7329334</w:t>
        </w:r>
      </w:hyperlink>
      <w:r>
        <w:t xml:space="preserve">. Accessed 19 Nov 2023</w:t>
      </w:r>
    </w:p>
    <w:bookmarkEnd w:id="249"/>
    <w:bookmarkStart w:id="250"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50"/>
    <w:bookmarkStart w:id="252" w:name="ref-DC-Motor_Market"/>
    <w:p>
      <w:pPr>
        <w:pStyle w:val="Bibliography"/>
      </w:pPr>
      <w:r>
        <w:t xml:space="preserve">3.</w:t>
      </w:r>
      <w:r>
        <w:t xml:space="preserve"> </w:t>
      </w:r>
      <w:r>
        <w:t xml:space="preserve">	</w:t>
      </w:r>
      <w:r>
        <w:t xml:space="preserve">Transparency Market Reserach Inc DC Motors Market.</w:t>
      </w:r>
      <w:r>
        <w:t xml:space="preserve"> </w:t>
      </w:r>
      <w:hyperlink r:id="rId251">
        <w:r>
          <w:rPr>
            <w:rStyle w:val="Hyperlink"/>
          </w:rPr>
          <w:t xml:space="preserve">https://www.transparencymarketresearch.com/dc-motors-market.html</w:t>
        </w:r>
      </w:hyperlink>
      <w:r>
        <w:t xml:space="preserve">. Accessed 13 Dez 2023</w:t>
      </w:r>
    </w:p>
    <w:bookmarkEnd w:id="252"/>
    <w:bookmarkStart w:id="254" w:name="ref-HBruecke"/>
    <w:p>
      <w:pPr>
        <w:pStyle w:val="Bibliography"/>
      </w:pPr>
      <w:r>
        <w:t xml:space="preserve">4.</w:t>
      </w:r>
      <w:r>
        <w:t xml:space="preserve"> </w:t>
      </w:r>
      <w:r>
        <w:t xml:space="preserve">	</w:t>
      </w:r>
      <w:r>
        <w:t xml:space="preserve">Biezl V Vierquadrantensteller steuert Gleichstrommotor.</w:t>
      </w:r>
      <w:r>
        <w:t xml:space="preserve"> </w:t>
      </w:r>
      <w:hyperlink r:id="rId253">
        <w:r>
          <w:rPr>
            <w:rStyle w:val="Hyperlink"/>
          </w:rPr>
          <w:t xml:space="preserve">https://commons.wikimedia.org/w/index.php?curid=4792919</w:t>
        </w:r>
      </w:hyperlink>
      <w:r>
        <w:t xml:space="preserve">. Accessed 13 Dez 2023</w:t>
      </w:r>
    </w:p>
    <w:bookmarkEnd w:id="254"/>
    <w:bookmarkStart w:id="256" w:name="ref-MotorModel"/>
    <w:p>
      <w:pPr>
        <w:pStyle w:val="Bibliography"/>
      </w:pPr>
      <w:r>
        <w:t xml:space="preserve">5.</w:t>
      </w:r>
      <w:r>
        <w:t xml:space="preserve"> </w:t>
      </w:r>
      <w:r>
        <w:t xml:space="preserve">	</w:t>
      </w:r>
      <w:r>
        <w:t xml:space="preserve">precisionmicrodrives Using SPICE To Model DC Motors.</w:t>
      </w:r>
      <w:r>
        <w:t xml:space="preserve"> </w:t>
      </w:r>
      <w:hyperlink r:id="rId255">
        <w:r>
          <w:rPr>
            <w:rStyle w:val="Hyperlink"/>
          </w:rPr>
          <w:t xml:space="preserve">https://www.precisionmicrodrives.com/ab-025</w:t>
        </w:r>
        <w:r>
          <w:rPr>
            <w:rStyle w:val="Hyperlink"/>
          </w:rPr>
          <w:t xml:space="preserve"> </w:t>
        </w:r>
      </w:hyperlink>
      <w:r>
        <w:t xml:space="preserve">. Accessed 19 Jan 2024</w:t>
      </w:r>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4" Target="media/rId94.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239" Target="media/rId239.png" /><Relationship Type="http://schemas.openxmlformats.org/officeDocument/2006/relationships/image" Id="rId220" Target="media/rId220.png" /><Relationship Type="http://schemas.openxmlformats.org/officeDocument/2006/relationships/image" Id="rId192" Target="media/rId192.png" /><Relationship Type="http://schemas.openxmlformats.org/officeDocument/2006/relationships/image" Id="rId206" Target="media/rId206.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26" Target="media/rId226.png" /><Relationship Type="http://schemas.openxmlformats.org/officeDocument/2006/relationships/image" Id="rId235" Target="media/rId235.pn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53" Target="https://commons.wikimedia.org/w/index.php?curid=4792919" TargetMode="External" /><Relationship Type="http://schemas.openxmlformats.org/officeDocument/2006/relationships/hyperlink" Id="rId248"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5" Target="https://www.precisionmicrodrives.com/ab-025 " TargetMode="External" /><Relationship Type="http://schemas.openxmlformats.org/officeDocument/2006/relationships/hyperlink" Id="rId251"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53" Target="https://commons.wikimedia.org/w/index.php?curid=4792919" TargetMode="External" /><Relationship Type="http://schemas.openxmlformats.org/officeDocument/2006/relationships/hyperlink" Id="rId248"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55" Target="https://www.precisionmicrodrives.com/ab-025 " TargetMode="External" /><Relationship Type="http://schemas.openxmlformats.org/officeDocument/2006/relationships/hyperlink" Id="rId251"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2024-01-19T21:39:37Z</dcterms:created>
  <dcterms:modified xsi:type="dcterms:W3CDTF">2024-01-19T21:39:37Z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2024-01-19</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