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8.png" ContentType="image/png"/>
  <Override PartName="/word/media/rId111.png" ContentType="image/png"/>
  <Override PartName="/word/media/rId34.svg" ContentType="image/svg+xml"/>
  <Override PartName="/word/media/rId171.png" ContentType="image/png"/>
  <Override PartName="/word/media/rId175.svg" ContentType="image/svg+xml"/>
  <Override PartName="/word/media/rId180.png" ContentType="image/png"/>
  <Override PartName="/word/media/rId184.svg" ContentType="image/svg+xml"/>
  <Override PartName="/word/media/rId193.svg" ContentType="image/svg+xml"/>
  <Override PartName="/word/media/rId189.png" ContentType="image/png"/>
  <Override PartName="/word/media/rId197.svg" ContentType="image/svg+xml"/>
  <Override PartName="/word/media/rId231.png" ContentType="image/png"/>
  <Override PartName="/word/media/rId235.png" ContentType="image/png"/>
  <Override PartName="/word/media/rId239.png" ContentType="image/png"/>
  <Override PartName="/word/media/rId204.png" ContentType="image/png"/>
  <Override PartName="/word/media/rId245.png" ContentType="image/png"/>
  <Override PartName="/word/media/rId249.svg" ContentType="image/svg+xml"/>
  <Override PartName="/word/media/rId270.png" ContentType="image/png"/>
  <Override PartName="/word/media/rId266.png" ContentType="image/png"/>
  <Override PartName="/word/media/rId257.png" ContentType="image/png"/>
  <Override PartName="/word/media/rId261.svg" ContentType="image/svg+xml"/>
  <Override PartName="/word/media/rId274.png" ContentType="image/png"/>
  <Override PartName="/word/media/rId278.svg" ContentType="image/svg+xml"/>
  <Override PartName="/word/media/rId283.png" ContentType="image/png"/>
  <Override PartName="/word/media/rId167.png" ContentType="image/png"/>
  <Override PartName="/word/media/rId349.png" ContentType="image/png"/>
  <Override PartName="/word/media/rId328.png" ContentType="image/png"/>
  <Override PartName="/word/media/rId299.png" ContentType="image/png"/>
  <Override PartName="/word/media/rId313.png" ContentType="image/png"/>
  <Override PartName="/word/media/rId303.png" ContentType="image/png"/>
  <Override PartName="/word/media/rId308.png" ContentType="image/png"/>
  <Override PartName="/word/media/rId334.png" ContentType="image/png"/>
  <Override PartName="/word/media/rId345.png" ContentType="image/png"/>
  <Override PartName="/word/media/rId341.png" ContentType="image/png"/>
  <Override PartName="/word/media/rId295.png" ContentType="image/png"/>
  <Override PartName="/word/media/rId377.png" ContentType="image/png"/>
  <Override PartName="/word/media/rId412.png" ContentType="image/png"/>
  <Override PartName="/word/media/rId402.png" ContentType="image/png"/>
  <Override PartName="/word/media/rId358.png" ContentType="image/png"/>
  <Override PartName="/word/media/rId387.png" ContentType="image/png"/>
  <Override PartName="/word/media/rId435.png" ContentType="image/png"/>
  <Override PartName="/word/media/rId426.png" ContentType="image/png"/>
  <Override PartName="/word/media/rId420.png" ContentType="image/png"/>
  <Override PartName="/word/media/rId416.png" ContentType="image/png"/>
  <Override PartName="/word/media/rId406.png" ContentType="image/png"/>
  <Override PartName="/word/media/rId366.png" ContentType="image/png"/>
  <Override PartName="/word/media/rId430.png" ContentType="image/png"/>
  <Override PartName="/word/media/rId449.png" ContentType="image/png"/>
  <Override PartName="/word/media/rId148.svg" ContentType="image/svg+xml"/>
  <Override PartName="/word/media/rId14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2024-12-05</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Layout w:type="fixed"/>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 der Disjunktion</w:t>
      </w:r>
      <w:r>
        <w:t xml:space="preserve"> </w:t>
      </w:r>
      <m:oMath>
        <m:r>
          <m:t>A</m:t>
        </m:r>
        <m:r>
          <m:rPr>
            <m:sty m:val="p"/>
          </m:rPr>
          <m:t>∨</m:t>
        </m:r>
        <m:r>
          <m:t>A</m:t>
        </m:r>
        <m:r>
          <m:rPr>
            <m:sty m:val="p"/>
          </m:rPr>
          <m:t>=</m:t>
        </m:r>
        <m:r>
          <m:t>A</m:t>
        </m:r>
      </m:oMath>
      <w:r>
        <w:t xml:space="preserve"> </w:t>
      </w:r>
      <w:r>
        <w:t xml:space="preserve">kann der letzte dieser Terme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tbl>
      <w:tblPr>
        <w:tblStyle w:val="Table"/>
        <w:tblW w:type="pct" w:w="5000"/>
        <w:tblLook w:firstRow="0" w:lastRow="0" w:firstColumn="0" w:lastColumn="0" w:noHBand="0" w:noVBand="0" w:val="0000"/>
        <w:jc w:val="start"/>
        <w:tblLayout w:type="fixed"/>
      </w:tblPr>
      <w:tblGrid>
        <w:gridCol w:w="7920"/>
      </w:tblGrid>
      <w:tr>
        <w:tc>
          <w:tcPr/>
          <w:bookmarkStart w:id="26" w:name="tbl-wahrheitstabelle"/>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D</w:t>
                  </w:r>
                </w:p>
              </w:tc>
              <w:tc>
                <w:tcPr/>
                <w:p>
                  <w:pPr>
                    <w:pStyle w:val="Compact"/>
                    <w:jc w:val="left"/>
                    <w:jc w:val="center"/>
                  </w:pPr>
                  <w:r>
                    <w:t xml:space="preserve">C</w:t>
                  </w:r>
                </w:p>
              </w:tc>
              <w:tc>
                <w:tcPr/>
                <w:p>
                  <w:pPr>
                    <w:pStyle w:val="Compact"/>
                    <w:jc w:val="left"/>
                    <w:jc w:val="center"/>
                  </w:pPr>
                  <w:r>
                    <w:t xml:space="preserve">B</w:t>
                  </w:r>
                </w:p>
              </w:tc>
              <w:tc>
                <w:tcPr/>
                <w:p>
                  <w:pPr>
                    <w:pStyle w:val="Compact"/>
                    <w:jc w:val="left"/>
                    <w:jc w:val="center"/>
                  </w:pPr>
                  <w:r>
                    <w:t xml:space="preserve">A</w:t>
                  </w:r>
                </w:p>
              </w:tc>
              <w:tc>
                <w:tcPr/>
                <w:p>
                  <w:pPr>
                    <w:pStyle w:val="Compact"/>
                    <w:jc w:val="right"/>
                    <w:jc w:val="center"/>
                  </w:pPr>
                  <w:r>
                    <w:t xml:space="preserve">Y</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0</w:t>
                  </w:r>
                </w:p>
              </w:tc>
            </w:tr>
          </w:tbl>
          <w:p>
            <w:pPr>
              <w:jc w:val="center"/>
            </w:pPr>
            <w:pPr>
              <w:jc w:val="start"/>
              <w:spacing w:before="200"/>
              <w:pStyle w:val="ImageCaption"/>
            </w:pPr>
            <w:r>
              <w:t xml:space="preserve">Tabelle 1.1: Wahrheitstabelle</w:t>
            </w:r>
          </w:p>
          <w:bookmarkEnd w:id="26"/>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leo\AppData\Local\Program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D</m:t>
        </m:r>
      </m:oMath>
      <w:r>
        <w:t xml:space="preserve"> </w:t>
      </w:r>
      <w:r>
        <w:t xml:space="preserve">… D Eingang</w:t>
      </w:r>
    </w:p>
    <w:p>
      <w:pPr>
        <w:pStyle w:val="BodyText"/>
      </w:pPr>
      <m:oMath>
        <m:r>
          <m:t>Y</m:t>
        </m:r>
      </m:oMath>
      <w:r>
        <w:t xml:space="preserve"> </w:t>
      </w:r>
      <w:r>
        <w:t xml:space="preserve">… Y Ausgang</w:t>
      </w:r>
    </w:p>
    <w:p>
      <w:pPr>
        <w:pStyle w:val="BodyText"/>
      </w:pPr>
      <m:oMath>
        <m:r>
          <m:t>B</m:t>
        </m:r>
      </m:oMath>
      <w:r>
        <w:t xml:space="preserve"> </w:t>
      </w:r>
      <w:r>
        <w:t xml:space="preserve">… B Eingang</w:t>
      </w:r>
    </w:p>
    <w:p>
      <w:pPr>
        <w:pStyle w:val="BodyText"/>
      </w:pPr>
      <m:oMath>
        <m:r>
          <m:t>A</m:t>
        </m:r>
      </m:oMath>
      <w:r>
        <w:t xml:space="preserve"> </w:t>
      </w:r>
      <w:r>
        <w:t xml:space="preserve">… A Eingang</w:t>
      </w:r>
    </w:p>
    <w:p>
      <w:pPr>
        <w:pStyle w:val="BodyText"/>
      </w:pPr>
      <m:oMath>
        <m:r>
          <m:t>C</m:t>
        </m:r>
      </m:oMath>
      <w:r>
        <w:t xml:space="preserve"> </w:t>
      </w:r>
      <w:r>
        <w:t xml:space="preserve">… C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leo\AppData\Local\Program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Layout w:type="fixed"/>
      </w:tblPr>
      <w:tblGrid>
        <w:gridCol w:w="7920"/>
      </w:tblGrid>
      <w:tr>
        <w:tc>
          <w:tcPr/>
          <w:bookmarkStart w:id="37" w:name="fig-schaltungs1"/>
          <w:p>
            <w:pPr>
              <w:pStyle w:val="Compact"/>
              <w:jc w:val="center"/>
            </w:pPr>
            <w:r>
              <w:drawing>
                <wp:inline>
                  <wp:extent cx="5019675" cy="297180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5019675"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9"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Gleichungen aufgestellt, welche die Schaltung rechnerisch beschreiben.</w:t>
      </w:r>
      <w:r>
        <w:t xml:space="preserve"> </w:t>
      </w:r>
      <w:r>
        <w:t xml:space="preserve">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4" w:name="fig-KSA1"/>
          <w:p>
            <w:pPr>
              <w:pStyle w:val="Compact"/>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Spannungsabfall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Gesetze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9" w:name="fig-KSA2"/>
          <w:p>
            <w:pPr>
              <w:pStyle w:val="Compact"/>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Gesetze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87"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66" w:name="fig-KSA3"/>
          <w:p>
            <w:pPr>
              <w:pStyle w:val="Compact"/>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bookmarkStart w:id="67" w:name="alle-ströme-und-spannungen-einzeichnen"/>
    <w:p>
      <w:pPr>
        <w:pStyle w:val="Heading3"/>
      </w:pPr>
      <w:r>
        <w:t xml:space="preserve">2.3.1 Alle Ströme und Spannungen einzeichnen</w:t>
      </w:r>
    </w:p>
    <w:bookmarkEnd w:id="67"/>
    <w:bookmarkStart w:id="68" w:name="bekannte-größen"/>
    <w:p>
      <w:pPr>
        <w:pStyle w:val="Heading3"/>
      </w:pPr>
      <w:r>
        <w:t xml:space="preserve">2.3.2 Bekannte Größen</w:t>
      </w:r>
    </w:p>
    <w:p>
      <w:pPr>
        <w:pStyle w:val="FirstParagraph"/>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bookmarkEnd w:id="68"/>
    <w:bookmarkStart w:id="69" w:name="unbekannte-größen-definieren"/>
    <w:p>
      <w:pPr>
        <w:pStyle w:val="Heading3"/>
      </w:pPr>
      <w:r>
        <w:t xml:space="preserve">2.3.3 Unbekannte Größen definieren</w:t>
      </w:r>
    </w:p>
    <w:p>
      <w:pPr>
        <w:pStyle w:val="FirstParagraph"/>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bookmarkEnd w:id="69"/>
    <w:bookmarkStart w:id="70" w:name="knoten-und-maschen-einzeichnen"/>
    <w:p>
      <w:pPr>
        <w:pStyle w:val="Heading3"/>
      </w:pPr>
      <w:r>
        <w:t xml:space="preserve">2.3.4 Knoten und Maschen einzeichnen</w:t>
      </w:r>
    </w:p>
    <w:p>
      <w:pPr>
        <w:pStyle w:val="FirstParagraph"/>
      </w:pPr>
      <w:r>
        <w:t xml:space="preserve">Siehe</w:t>
      </w:r>
      <w:r>
        <w:t xml:space="preserve"> </w:t>
      </w:r>
      <w:hyperlink w:anchor="fig-KSA3">
        <w:r>
          <w:rPr>
            <w:rStyle w:val="Hyperlink"/>
          </w:rPr>
          <w:t xml:space="preserve">Abbildung 2.3</w:t>
        </w:r>
      </w:hyperlink>
    </w:p>
    <w:bookmarkEnd w:id="70"/>
    <w:bookmarkStart w:id="74" w:name="X5f6a44e7de67f2d358cfcdde842134d1ba889e7"/>
    <w:p>
      <w:pPr>
        <w:pStyle w:val="Heading3"/>
      </w:pPr>
      <w:r>
        <w:t xml:space="preserve">2.3.5 Knoten- und Maschengleichungen aufstellen</w:t>
      </w:r>
    </w:p>
    <w:p>
      <w:pPr>
        <w:pStyle w:val="FirstParagraph"/>
      </w:pPr>
      <w:r>
        <w:t xml:space="preserve">Maschengleichungen</w:t>
      </w:r>
    </w:p>
    <w:p>
      <w:pPr>
        <w:pStyle w:val="BodyText"/>
      </w:pPr>
      <w:bookmarkStart w:id="71"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71"/>
    </w:p>
    <w:p>
      <w:pPr>
        <w:pStyle w:val="FirstParagraph"/>
      </w:pPr>
      <w:bookmarkStart w:id="72"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72"/>
    </w:p>
    <w:p>
      <w:pPr>
        <w:pStyle w:val="FirstParagraph"/>
      </w:pPr>
      <w:r>
        <w:t xml:space="preserve">Knotengleichungen</w:t>
      </w:r>
    </w:p>
    <w:p>
      <w:pPr>
        <w:pStyle w:val="BodyText"/>
      </w:pPr>
      <w:bookmarkStart w:id="73"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73"/>
    </w:p>
    <w:bookmarkEnd w:id="74"/>
    <w:bookmarkStart w:id="78" w:name="X60bd13131b594c3ff9f9c70778a65658527dda7"/>
    <w:p>
      <w:pPr>
        <w:pStyle w:val="Heading3"/>
      </w:pPr>
      <w:r>
        <w:t xml:space="preserve">2.3.6 Ohmsche Gesetze für die Widerstände anschreiben</w:t>
      </w:r>
    </w:p>
    <w:p>
      <w:pPr>
        <w:pStyle w:val="FirstParagraph"/>
      </w:pPr>
      <w:r>
        <w:t xml:space="preserve">Ohmsches Gesetz</w:t>
      </w:r>
    </w:p>
    <w:p>
      <w:pPr>
        <w:pStyle w:val="BodyText"/>
      </w:pPr>
      <w:bookmarkStart w:id="75"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5"/>
    </w:p>
    <w:p>
      <w:pPr>
        <w:pStyle w:val="FirstParagraph"/>
      </w:pPr>
      <w:bookmarkStart w:id="76"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6"/>
    </w:p>
    <w:p>
      <w:pPr>
        <w:pStyle w:val="FirstParagraph"/>
      </w:pPr>
      <w:bookmarkStart w:id="77"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7"/>
    </w:p>
    <w:bookmarkEnd w:id="78"/>
    <w:bookmarkStart w:id="79" w:name="Xa9af3eaacbc9fbb2f2277e0d1c1d8a533c3160e"/>
    <w:p>
      <w:pPr>
        <w:pStyle w:val="Heading3"/>
      </w:pPr>
      <w:r>
        <w:t xml:space="preserve">2.3.7 Überprüfen ob es gleich viele Gleichungen wie Unbekannte gibt</w:t>
      </w:r>
    </w:p>
    <w:p>
      <w:pPr>
        <w:pStyle w:val="FirstParagraph"/>
      </w:pPr>
      <w:r>
        <w:t xml:space="preserve">Passt, es gibt 6 Gleichungen und 6 Unbekannte.</w:t>
      </w:r>
    </w:p>
    <w:bookmarkEnd w:id="79"/>
    <w:bookmarkStart w:id="86" w:name="gleichungssystem-lösen"/>
    <w:p>
      <w:pPr>
        <w:pStyle w:val="Heading3"/>
      </w:pPr>
      <w:r>
        <w:t xml:space="preserve">2.3.8 Gleichungssystem lösen</w:t>
      </w:r>
    </w:p>
    <w:p>
      <w:pPr>
        <w:pStyle w:val="FirstParagraph"/>
      </w:pPr>
      <w:r>
        <w:t xml:space="preserve">Das Gleichungssystem kann mit der Hand gelöst werden. Für komplexere Schaltungen ist es sinnvoll, ein Computerprogramm zu verwenden.</w:t>
      </w:r>
    </w:p>
    <w:p>
      <w:pPr>
        <w:pStyle w:val="BodyText"/>
      </w:pPr>
      <w:bookmarkStart w:id="80"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80"/>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81"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81"/>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82"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82"/>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83"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83"/>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84"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84"/>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85"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85"/>
    </w:p>
    <w:p>
      <w:pPr>
        <w:pStyle w:val="FirstParagraph"/>
      </w:pPr>
      <m:oMathPara>
        <m:oMathParaPr>
          <m:jc m:val="center"/>
        </m:oMathParaPr>
        <m:oMath>
          <m:r>
            <m:t>I</m:t>
          </m:r>
          <m:r>
            <m:rPr>
              <m:sty m:val="p"/>
            </m:rPr>
            <m:t>=</m:t>
          </m:r>
          <m:r>
            <m:rPr>
              <m:nor/>
              <m:sty m:val="p"/>
            </m:rPr>
            <m:t>14</m:t>
          </m:r>
          <m:r>
            <m:t> </m:t>
          </m:r>
          <m:r>
            <m:rPr>
              <m:nor/>
              <m:sty m:val="p"/>
            </m:rPr>
            <m:t>mA</m:t>
          </m:r>
        </m:oMath>
      </m:oMathPara>
    </w:p>
    <w:bookmarkEnd w:id="86"/>
    <w:bookmarkEnd w:id="87"/>
    <w:bookmarkStart w:id="110"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91" w:name="fig-KSA4"/>
          <w:p>
            <w:pPr>
              <w:pStyle w:val="Compact"/>
              <w:jc w:val="center"/>
            </w:pPr>
            <w:r>
              <w:drawing>
                <wp:inline>
                  <wp:extent cx="5334000" cy="3140363"/>
                  <wp:effectExtent b="0" l="0" r="0" t="0"/>
                  <wp:docPr descr="" title="" id="89" name="Picture"/>
                  <a:graphic>
                    <a:graphicData uri="http://schemas.openxmlformats.org/drawingml/2006/picture">
                      <pic:pic>
                        <pic:nvPicPr>
                          <pic:cNvPr descr="GET/Grafiken/KSA_4.png" id="90" name="Picture"/>
                          <pic:cNvPicPr>
                            <a:picLocks noChangeArrowheads="1" noChangeAspect="1"/>
                          </pic:cNvPicPr>
                        </pic:nvPicPr>
                        <pic:blipFill>
                          <a:blip r:embed="rId88"/>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91"/>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Spannungsabfall an R1</w:t>
      </w:r>
    </w:p>
    <w:p>
      <w:pPr>
        <w:pStyle w:val="BodyText"/>
      </w:pPr>
      <m:oMath>
        <m:sSub>
          <m:e>
            <m:r>
              <m:t>U</m:t>
            </m:r>
          </m:e>
          <m:sub>
            <m:r>
              <m:t>2</m:t>
            </m:r>
          </m:sub>
        </m:sSub>
      </m:oMath>
      <w:r>
        <w:t xml:space="preserve"> </w:t>
      </w:r>
      <w:r>
        <w:t xml:space="preserve">… Spannungsabfall an R2</w:t>
      </w:r>
    </w:p>
    <w:p>
      <w:pPr>
        <w:pStyle w:val="BodyText"/>
      </w:pPr>
      <m:oMath>
        <m:sSub>
          <m:e>
            <m:r>
              <m:t>U</m:t>
            </m:r>
          </m:e>
          <m:sub>
            <m:r>
              <m:t>3</m:t>
            </m:r>
          </m:sub>
        </m:sSub>
      </m:oMath>
      <w:r>
        <w:t xml:space="preserve"> </w:t>
      </w:r>
      <w:r>
        <w:t xml:space="preserve">… Spannungsabfall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92"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92"/>
    </w:p>
    <w:p>
      <w:pPr>
        <w:pStyle w:val="FirstParagraph"/>
      </w:pPr>
      <w:bookmarkStart w:id="93"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93"/>
    </w:p>
    <w:p>
      <w:pPr>
        <w:pStyle w:val="FirstParagraph"/>
      </w:pPr>
      <w:bookmarkStart w:id="94"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94"/>
    </w:p>
    <w:p>
      <w:pPr>
        <w:pStyle w:val="FirstParagraph"/>
      </w:pPr>
      <w:r>
        <w:t xml:space="preserve">Knotengleichungen</w:t>
      </w:r>
    </w:p>
    <w:p>
      <w:pPr>
        <w:pStyle w:val="BodyText"/>
      </w:pPr>
      <w:bookmarkStart w:id="95"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95"/>
    </w:p>
    <w:p>
      <w:pPr>
        <w:pStyle w:val="FirstParagraph"/>
      </w:pPr>
      <w:bookmarkStart w:id="96"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96"/>
    </w:p>
    <w:p>
      <w:pPr>
        <w:pStyle w:val="FirstParagraph"/>
      </w:pPr>
      <w:bookmarkStart w:id="97"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97"/>
    </w:p>
    <w:p>
      <w:pPr>
        <w:pStyle w:val="FirstParagraph"/>
      </w:pPr>
      <w:r>
        <w:rPr>
          <w:bCs/>
          <w:b/>
        </w:rPr>
        <w:t xml:space="preserve">5. Ohmsche Gesetze für die Widerstände anschreiben</w:t>
      </w:r>
    </w:p>
    <w:p>
      <w:pPr>
        <w:pStyle w:val="BodyText"/>
      </w:pPr>
      <w:r>
        <w:t xml:space="preserve">Ohmsches Gesetz</w:t>
      </w:r>
    </w:p>
    <w:p>
      <w:pPr>
        <w:pStyle w:val="BodyText"/>
      </w:pPr>
      <w:bookmarkStart w:id="98"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8"/>
    </w:p>
    <w:p>
      <w:pPr>
        <w:pStyle w:val="FirstParagraph"/>
      </w:pPr>
      <w:bookmarkStart w:id="99"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9"/>
    </w:p>
    <w:p>
      <w:pPr>
        <w:pStyle w:val="FirstParagraph"/>
      </w:pPr>
      <w:bookmarkStart w:id="100"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100"/>
    </w:p>
    <w:p>
      <w:pPr>
        <w:pStyle w:val="FirstParagraph"/>
      </w:pPr>
      <w:r>
        <w:rPr>
          <w:bCs/>
          <w:b/>
        </w:rPr>
        <w:t xml:space="preserve">6. Überprüfen ob es gleich viele Gleichungen wie Unbekannte gibt</w:t>
      </w:r>
      <w:r>
        <w:br/>
      </w:r>
      <w:r>
        <w:t xml:space="preserve">Passt,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101"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101"/>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102"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102"/>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103"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103"/>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104"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104"/>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105"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105"/>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106"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106"/>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107"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107"/>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8"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8"/>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9"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9"/>
    </w:p>
    <w:p>
      <w:pPr>
        <w:pStyle w:val="FirstParagraph"/>
      </w:pPr>
      <m:oMathPara>
        <m:oMathParaPr>
          <m:jc m:val="center"/>
        </m:oMathParaPr>
        <m:oMath>
          <m:r>
            <m:t>I</m:t>
          </m:r>
          <m:r>
            <m:rPr>
              <m:sty m:val="p"/>
            </m:rPr>
            <m:t>=</m:t>
          </m:r>
          <m:r>
            <m:rPr>
              <m:nor/>
              <m:sty m:val="p"/>
            </m:rPr>
            <m:t>18</m:t>
          </m:r>
          <m:r>
            <m:t> </m:t>
          </m:r>
          <m:r>
            <m:rPr>
              <m:nor/>
              <m:sty m:val="p"/>
            </m:rPr>
            <m:t>mA</m:t>
          </m:r>
        </m:oMath>
      </m:oMathPara>
    </w:p>
    <w:bookmarkEnd w:id="110"/>
    <w:bookmarkStart w:id="138"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114" w:name="fig-KSA5"/>
          <w:p>
            <w:pPr>
              <w:pStyle w:val="Compact"/>
              <w:jc w:val="center"/>
            </w:pPr>
            <w:r>
              <w:drawing>
                <wp:inline>
                  <wp:extent cx="4188335" cy="3708755"/>
                  <wp:effectExtent b="0" l="0" r="0" t="0"/>
                  <wp:docPr descr="" title="" id="112" name="Picture"/>
                  <a:graphic>
                    <a:graphicData uri="http://schemas.openxmlformats.org/drawingml/2006/picture">
                      <pic:pic>
                        <pic:nvPicPr>
                          <pic:cNvPr descr="GET/Grafiken/KSA_5.png" id="113" name="Picture"/>
                          <pic:cNvPicPr>
                            <a:picLocks noChangeArrowheads="1" noChangeAspect="1"/>
                          </pic:cNvPicPr>
                        </pic:nvPicPr>
                        <pic:blipFill>
                          <a:blip r:embed="rId111"/>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1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Spannungsabfall an R1</w:t>
      </w:r>
    </w:p>
    <w:p>
      <w:pPr>
        <w:pStyle w:val="BodyText"/>
      </w:pPr>
      <m:oMath>
        <m:sSub>
          <m:e>
            <m:r>
              <m:t>U</m:t>
            </m:r>
          </m:e>
          <m:sub>
            <m:r>
              <m:t>R</m:t>
            </m:r>
            <m:r>
              <m:t>2</m:t>
            </m:r>
          </m:sub>
        </m:sSub>
      </m:oMath>
      <w:r>
        <w:t xml:space="preserve"> </w:t>
      </w:r>
      <w:r>
        <w:t xml:space="preserve">… Spannungsabfall an R2</w:t>
      </w:r>
    </w:p>
    <w:p>
      <w:pPr>
        <w:pStyle w:val="BodyText"/>
      </w:pPr>
      <m:oMath>
        <m:sSub>
          <m:e>
            <m:r>
              <m:t>U</m:t>
            </m:r>
          </m:e>
          <m:sub>
            <m:r>
              <m:t>R</m:t>
            </m:r>
            <m:r>
              <m:t>3</m:t>
            </m:r>
          </m:sub>
        </m:sSub>
      </m:oMath>
      <w:r>
        <w:t xml:space="preserve"> </w:t>
      </w:r>
      <w:r>
        <w:t xml:space="preserve">… Spannungsabfall an R3</w:t>
      </w:r>
    </w:p>
    <w:p>
      <w:pPr>
        <w:pStyle w:val="BodyText"/>
      </w:pPr>
      <m:oMath>
        <m:sSub>
          <m:e>
            <m:r>
              <m:t>U</m:t>
            </m:r>
          </m:e>
          <m:sub>
            <m:r>
              <m:t>R</m:t>
            </m:r>
            <m:r>
              <m:t>4</m:t>
            </m:r>
          </m:sub>
        </m:sSub>
      </m:oMath>
      <w:r>
        <w:t xml:space="preserve"> </w:t>
      </w:r>
      <w:r>
        <w:t xml:space="preserve">… Spannungsabfall an R4</w:t>
      </w:r>
    </w:p>
    <w:p>
      <w:pPr>
        <w:pStyle w:val="BodyText"/>
      </w:pPr>
      <m:oMath>
        <m:sSub>
          <m:e>
            <m:r>
              <m:t>U</m:t>
            </m:r>
          </m:e>
          <m:sub>
            <m:r>
              <m:t>R</m:t>
            </m:r>
            <m:r>
              <m:t>5</m:t>
            </m:r>
          </m:sub>
        </m:sSub>
      </m:oMath>
      <w:r>
        <w:t xml:space="preserve"> </w:t>
      </w:r>
      <w:r>
        <w:t xml:space="preserve">… Spannungsabfall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15"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15"/>
    </w:p>
    <w:p>
      <w:pPr>
        <w:pStyle w:val="FirstParagraph"/>
      </w:pPr>
      <w:bookmarkStart w:id="116"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16"/>
    </w:p>
    <w:p>
      <w:pPr>
        <w:pStyle w:val="FirstParagraph"/>
      </w:pPr>
      <w:bookmarkStart w:id="117"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17"/>
    </w:p>
    <w:p>
      <w:pPr>
        <w:pStyle w:val="FirstParagraph"/>
      </w:pPr>
      <w:r>
        <w:t xml:space="preserve">Knotengleichungen</w:t>
      </w:r>
    </w:p>
    <w:p>
      <w:pPr>
        <w:pStyle w:val="BodyText"/>
      </w:pPr>
      <w:bookmarkStart w:id="118"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8"/>
    </w:p>
    <w:p>
      <w:pPr>
        <w:pStyle w:val="FirstParagraph"/>
      </w:pPr>
      <w:bookmarkStart w:id="119"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9"/>
    </w:p>
    <w:p>
      <w:pPr>
        <w:pStyle w:val="FirstParagraph"/>
      </w:pPr>
      <w:bookmarkStart w:id="120"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20"/>
    </w:p>
    <w:p>
      <w:pPr>
        <w:pStyle w:val="FirstParagraph"/>
      </w:pPr>
      <w:bookmarkStart w:id="121"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21"/>
    </w:p>
    <w:p>
      <w:pPr>
        <w:pStyle w:val="FirstParagraph"/>
      </w:pPr>
      <w:r>
        <w:rPr>
          <w:bCs/>
          <w:b/>
        </w:rPr>
        <w:t xml:space="preserve">5. Ohmsche Gesetze für die Widerstände anschreiben</w:t>
      </w:r>
    </w:p>
    <w:p>
      <w:pPr>
        <w:pStyle w:val="BodyText"/>
      </w:pPr>
      <w:r>
        <w:t xml:space="preserve">Ohmsches Gesetz</w:t>
      </w:r>
    </w:p>
    <w:p>
      <w:pPr>
        <w:pStyle w:val="BodyText"/>
      </w:pPr>
      <w:bookmarkStart w:id="122"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22"/>
    </w:p>
    <w:p>
      <w:pPr>
        <w:pStyle w:val="FirstParagraph"/>
      </w:pPr>
      <w:bookmarkStart w:id="123"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23"/>
    </w:p>
    <w:p>
      <w:pPr>
        <w:pStyle w:val="FirstParagraph"/>
      </w:pPr>
      <w:bookmarkStart w:id="124"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24"/>
    </w:p>
    <w:p>
      <w:pPr>
        <w:pStyle w:val="FirstParagraph"/>
      </w:pPr>
      <w:bookmarkStart w:id="125"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25"/>
    </w:p>
    <w:p>
      <w:pPr>
        <w:pStyle w:val="FirstParagraph"/>
      </w:pPr>
      <w:bookmarkStart w:id="126"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26"/>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27"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27"/>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8"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8"/>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9"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9"/>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30"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30"/>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31"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31"/>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32"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32"/>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33"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33"/>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34"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34"/>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35"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35"/>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36"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36"/>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37"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37"/>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8"/>
    <w:bookmarkEnd w:id="139"/>
    <w:bookmarkStart w:id="166" w:name="der-transistor"/>
    <w:p>
      <w:pPr>
        <w:pStyle w:val="Heading1"/>
      </w:pPr>
      <w:r>
        <w:t xml:space="preserve">3. Der Transistor</w:t>
      </w:r>
    </w:p>
    <w:bookmarkStart w:id="147" w:name="sec-MOSFET"/>
    <w:p>
      <w:pPr>
        <w:pStyle w:val="Heading2"/>
      </w:pPr>
      <w:r>
        <w:t xml:space="preserve">3.1 Feldeffekttransistor</w:t>
      </w:r>
    </w:p>
    <w:p>
      <w:pPr>
        <w:pStyle w:val="FirstParagraph"/>
      </w:pPr>
      <w:r>
        <w:t xml:space="preserve">Die einfachste und gleichzeitig eine der wichtigsten Anwendungen des MOSFETs ist der Schalter. Mittels Spannung am Gate wird der MOSFET ein- und ausgeschalten.</w:t>
      </w:r>
    </w:p>
    <w:tbl>
      <w:tblPr>
        <w:tblStyle w:val="Table"/>
        <w:tblW w:type="pct" w:w="5000"/>
        <w:tblLook w:firstRow="0" w:lastRow="0" w:firstColumn="0" w:lastColumn="0" w:noHBand="0" w:noVBand="0" w:val="0000"/>
        <w:jc w:val="start"/>
        <w:tblLayout w:type="fixed"/>
      </w:tblPr>
      <w:tblGrid>
        <w:gridCol w:w="7920"/>
      </w:tblGrid>
      <w:tr>
        <w:tc>
          <w:tcPr/>
          <w:bookmarkStart w:id="143" w:name="fig-n-Channel_switch"/>
          <w:p>
            <w:pPr>
              <w:pStyle w:val="Compact"/>
              <w:jc w:val="center"/>
            </w:pPr>
            <w:r>
              <w:drawing>
                <wp:inline>
                  <wp:extent cx="3724275" cy="3495675"/>
                  <wp:effectExtent b="0" l="0" r="0" t="0"/>
                  <wp:docPr descr="" title="" id="141" name="Picture"/>
                  <a:graphic>
                    <a:graphicData uri="http://schemas.openxmlformats.org/drawingml/2006/picture">
                      <pic:pic>
                        <pic:nvPicPr>
                          <pic:cNvPr descr="Transistoren/Grafiken/NChannelenhancementSwitch.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43"/>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46" w:name="aufgabe"/>
    <w:p>
      <w:pPr>
        <w:pStyle w:val="Heading3"/>
      </w:pPr>
      <w:r>
        <w:t xml:space="preserve">3.1.1 Aufgabe</w:t>
      </w:r>
    </w:p>
    <w:bookmarkStart w:id="144" w:name="teil-1-n-kanal-anreicherungstyp"/>
    <w:p>
      <w:pPr>
        <w:pStyle w:val="Heading4"/>
      </w:pPr>
      <w:r>
        <w:t xml:space="preserve">3.1.1.1 Teil 1: N-Kanal Anreicherungstyp</w:t>
      </w:r>
    </w:p>
    <w:p>
      <w:pPr>
        <w:pStyle w:val="FirstParagraph"/>
      </w:pPr>
      <w:r>
        <w:t xml:space="preserve">Simulieren Sie die gegebene Schaltung. Wählen Sie die Spannungen aus dem Datenblatt aus. Geben Sie für zwei Eingangspulse den Strom durch, und die Spannung über den Widerstand an.</w:t>
      </w:r>
      <w:r>
        <w:t xml:space="preserve"> </w:t>
      </w:r>
      <w:r>
        <w:t xml:space="preserve">Verwenden Sie dafür die Transientenanalyse und geben Sie deutlich an, ob das Ergebnis den Erwartungen entspricht oder nicht. Argumentieren Sie Ihre Aussage.</w:t>
      </w:r>
    </w:p>
    <w:bookmarkEnd w:id="144"/>
    <w:bookmarkStart w:id="145"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45"/>
    <w:bookmarkEnd w:id="146"/>
    <w:bookmarkEnd w:id="147"/>
    <w:bookmarkStart w:id="165" w:name="sec-BJT"/>
    <w:p>
      <w:pPr>
        <w:pStyle w:val="Heading2"/>
      </w:pPr>
      <w:r>
        <w:t xml:space="preserve">3.2 Bipolartransistor</w:t>
      </w:r>
    </w:p>
    <w:bookmarkStart w:id="152"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Layout w:type="fixed"/>
      </w:tblPr>
      <w:tblGrid>
        <w:gridCol w:w="7920"/>
      </w:tblGrid>
      <w:tr>
        <w:tc>
          <w:tcPr/>
          <w:bookmarkStart w:id="151" w:name="fig-BJT_Emitter_mit_Re"/>
          <w:p>
            <w:pPr>
              <w:pStyle w:val="Compact"/>
              <w:jc w:val="center"/>
            </w:pPr>
            <w:r>
              <w:drawing>
                <wp:inline>
                  <wp:extent cx="5334000" cy="3876360"/>
                  <wp:effectExtent b="0" l="0" r="0" t="0"/>
                  <wp:docPr descr="" title="" id="149" name="Picture"/>
                  <a:graphic>
                    <a:graphicData uri="http://schemas.openxmlformats.org/drawingml/2006/picture">
                      <pic:pic>
                        <pic:nvPicPr>
                          <pic:cNvPr descr="Transistoren/Grafiken/BJTEmitterschaltung_mitRE.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51"/>
        </w:tc>
      </w:tr>
    </w:tbl>
    <w:bookmarkEnd w:id="152"/>
    <w:bookmarkStart w:id="159" w:name="aufgabenstellung"/>
    <w:p>
      <w:pPr>
        <w:pStyle w:val="Heading3"/>
      </w:pPr>
      <w:r>
        <w:t xml:space="preserve">3.2.2 Aufgabenstellung</w:t>
      </w:r>
    </w:p>
    <w:p>
      <w:pPr>
        <w:pStyle w:val="FirstParagraph"/>
      </w:pPr>
      <w:r>
        <w:t xml:space="preserve">Entwerfen Sie einen Spannungsverstärker mit gegebenen Werten.</w:t>
      </w:r>
    </w:p>
    <w:p>
      <w:pPr>
        <w:pStyle w:val="BodyText"/>
      </w:pPr>
      <w:bookmarkStart w:id="153"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53"/>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58" w:name="gegeben"/>
    <w:p>
      <w:pPr>
        <w:pStyle w:val="Heading4"/>
      </w:pPr>
      <w:r>
        <w:t xml:space="preserve">3.2.2.1 Gegeben</w:t>
      </w:r>
    </w:p>
    <w:bookmarkStart w:id="154"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54"/>
    <w:bookmarkStart w:id="155"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55"/>
    <w:bookmarkStart w:id="157"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56"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56"/>
    </w:p>
    <w:bookmarkEnd w:id="157"/>
    <w:bookmarkEnd w:id="158"/>
    <w:bookmarkEnd w:id="159"/>
    <w:bookmarkStart w:id="163"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60"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60"/>
    </w:p>
    <w:p>
      <w:pPr>
        <w:pStyle w:val="FirstParagraph"/>
      </w:pPr>
      <w:bookmarkStart w:id="161"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61"/>
    </w:p>
    <w:p>
      <w:pPr>
        <w:pStyle w:val="FirstParagraph"/>
      </w:pPr>
      <w:bookmarkStart w:id="162"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62"/>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63"/>
    <w:bookmarkStart w:id="164"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64"/>
    <w:bookmarkEnd w:id="165"/>
    <w:bookmarkEnd w:id="166"/>
    <w:bookmarkStart w:id="292"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Layout w:type="fixed"/>
      </w:tblPr>
      <w:tblGrid>
        <w:gridCol w:w="7920"/>
      </w:tblGrid>
      <w:tr>
        <w:tc>
          <w:tcPr/>
          <w:bookmarkStart w:id="170" w:name="fig-BJT-AP_Ruhestrom"/>
          <w:p>
            <w:pPr>
              <w:pStyle w:val="Compact"/>
              <w:jc w:val="center"/>
            </w:pPr>
            <w:r>
              <w:drawing>
                <wp:inline>
                  <wp:extent cx="5334000" cy="4960478"/>
                  <wp:effectExtent b="0" l="0" r="0" t="0"/>
                  <wp:docPr descr="" title="" id="168" name="Picture"/>
                  <a:graphic>
                    <a:graphicData uri="http://schemas.openxmlformats.org/drawingml/2006/picture">
                      <pic:pic>
                        <pic:nvPicPr>
                          <pic:cNvPr descr="Projekte/Grafiken/BJT_Kennlinie_AP_Ruhestrom.png" id="169" name="Picture"/>
                          <pic:cNvPicPr>
                            <a:picLocks noChangeArrowheads="1" noChangeAspect="1"/>
                          </pic:cNvPicPr>
                        </pic:nvPicPr>
                        <pic:blipFill>
                          <a:blip r:embed="rId167"/>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70"/>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79"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Die Betriebsart wird hier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Layout w:type="fixed"/>
      </w:tblPr>
      <w:tblGrid>
        <w:gridCol w:w="7920"/>
      </w:tblGrid>
      <w:tr>
        <w:tc>
          <w:tcPr/>
          <w:bookmarkStart w:id="174" w:name="fig-BJT_Gegen"/>
          <w:p>
            <w:pPr>
              <w:pStyle w:val="Compact"/>
              <w:jc w:val="center"/>
            </w:pPr>
            <w:r>
              <w:drawing>
                <wp:inline>
                  <wp:extent cx="5334000" cy="4870760"/>
                  <wp:effectExtent b="0" l="0" r="0" t="0"/>
                  <wp:docPr descr="" title="" id="172" name="Picture"/>
                  <a:graphic>
                    <a:graphicData uri="http://schemas.openxmlformats.org/drawingml/2006/picture">
                      <pic:pic>
                        <pic:nvPicPr>
                          <pic:cNvPr descr="Projekte/Grafiken/01_LV_Gegentaktendstufe.png" id="173" name="Picture"/>
                          <pic:cNvPicPr>
                            <a:picLocks noChangeArrowheads="1" noChangeAspect="1"/>
                          </pic:cNvPicPr>
                        </pic:nvPicPr>
                        <pic:blipFill>
                          <a:blip r:embed="rId171"/>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74"/>
        </w:tc>
      </w:tr>
    </w:tbl>
    <w:p>
      <w:pPr>
        <w:pStyle w:val="BodyText"/>
      </w:pPr>
      <w:r>
        <w:t xml:space="preserve">Wird diese Schaltung einem Test unterzogen, zeigt sich, dass das Ergebnis wenig zufriedenstellend ist. Weder wird die Amplitude erreicht, das Signal wird gedämpft, noch folgt der Ausgang dem sinusförmigen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Layout w:type="fixed"/>
      </w:tblPr>
      <w:tblGrid>
        <w:gridCol w:w="7920"/>
      </w:tblGrid>
      <w:tr>
        <w:tc>
          <w:tcPr/>
          <w:bookmarkStart w:id="178" w:name="fig-BJT_Gegen_Sim1"/>
          <w:p>
            <w:pPr>
              <w:pStyle w:val="Compact"/>
              <w:jc w:val="center"/>
            </w:pPr>
            <w:r>
              <w:drawing>
                <wp:inline>
                  <wp:extent cx="5334000" cy="7620000"/>
                  <wp:effectExtent b="0" l="0" r="0" t="0"/>
                  <wp:docPr descr="" title="" id="176" name="Picture"/>
                  <a:graphic>
                    <a:graphicData uri="http://schemas.openxmlformats.org/drawingml/2006/picture">
                      <pic:pic>
                        <pic:nvPicPr>
                          <pic:cNvPr descr="Projekte/Grafiken/01_Transient%20Analysis.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5"/>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7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9"/>
    <w:bookmarkStart w:id="188"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Layout w:type="fixed"/>
      </w:tblPr>
      <w:tblGrid>
        <w:gridCol w:w="7920"/>
      </w:tblGrid>
      <w:tr>
        <w:tc>
          <w:tcPr/>
          <w:bookmarkStart w:id="183" w:name="fig-BJT_GegenRueck"/>
          <w:p>
            <w:pPr>
              <w:pStyle w:val="Compact"/>
              <w:jc w:val="center"/>
            </w:pPr>
            <w:r>
              <w:drawing>
                <wp:inline>
                  <wp:extent cx="5334000" cy="4019641"/>
                  <wp:effectExtent b="0" l="0" r="0" t="0"/>
                  <wp:docPr descr="" title="" id="181" name="Picture"/>
                  <a:graphic>
                    <a:graphicData uri="http://schemas.openxmlformats.org/drawingml/2006/picture">
                      <pic:pic>
                        <pic:nvPicPr>
                          <pic:cNvPr descr="Projekte/Grafiken/02_LV_Rueckkopplung.png" id="182" name="Picture"/>
                          <pic:cNvPicPr>
                            <a:picLocks noChangeArrowheads="1" noChangeAspect="1"/>
                          </pic:cNvPicPr>
                        </pic:nvPicPr>
                        <pic:blipFill>
                          <a:blip r:embed="rId180"/>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83"/>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Layout w:type="fixed"/>
      </w:tblPr>
      <w:tblGrid>
        <w:gridCol w:w="7920"/>
      </w:tblGrid>
      <w:tr>
        <w:tc>
          <w:tcPr/>
          <w:bookmarkStart w:id="187" w:name="fig-BJT_GegenRueckSim"/>
          <w:p>
            <w:pPr>
              <w:pStyle w:val="Compact"/>
              <w:jc w:val="center"/>
            </w:pPr>
            <w:r>
              <w:drawing>
                <wp:inline>
                  <wp:extent cx="5334000" cy="7620000"/>
                  <wp:effectExtent b="0" l="0" r="0" t="0"/>
                  <wp:docPr descr="" title="" id="185" name="Picture"/>
                  <a:graphic>
                    <a:graphicData uri="http://schemas.openxmlformats.org/drawingml/2006/picture">
                      <pic:pic>
                        <pic:nvPicPr>
                          <pic:cNvPr descr="Projekte/Grafiken/02_Transient%20Analysis.svg" id="1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4"/>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87"/>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88"/>
    <w:bookmarkStart w:id="203"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Layout w:type="fixed"/>
      </w:tblPr>
      <w:tblGrid>
        <w:gridCol w:w="7920"/>
      </w:tblGrid>
      <w:tr>
        <w:tc>
          <w:tcPr/>
          <w:bookmarkStart w:id="192" w:name="fig-BJT_GegenRueckVor"/>
          <w:p>
            <w:pPr>
              <w:pStyle w:val="Compact"/>
              <w:jc w:val="center"/>
            </w:pPr>
            <w:r>
              <w:drawing>
                <wp:inline>
                  <wp:extent cx="5334000" cy="3281896"/>
                  <wp:effectExtent b="0" l="0" r="0" t="0"/>
                  <wp:docPr descr="" title="" id="190" name="Picture"/>
                  <a:graphic>
                    <a:graphicData uri="http://schemas.openxmlformats.org/drawingml/2006/picture">
                      <pic:pic>
                        <pic:nvPicPr>
                          <pic:cNvPr descr="Projekte/Grafiken/03_LV_Vorspannung.png" id="191" name="Picture"/>
                          <pic:cNvPicPr>
                            <a:picLocks noChangeArrowheads="1" noChangeAspect="1"/>
                          </pic:cNvPicPr>
                        </pic:nvPicPr>
                        <pic:blipFill>
                          <a:blip r:embed="rId189"/>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92"/>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wie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Layout w:type="fixed"/>
      </w:tblPr>
      <w:tblGrid>
        <w:gridCol w:w="7920"/>
      </w:tblGrid>
      <w:tr>
        <w:tc>
          <w:tcPr/>
          <w:bookmarkStart w:id="196" w:name="fig-BJT_GegenRueckVorDCSw"/>
          <w:p>
            <w:pPr>
              <w:pStyle w:val="Compact"/>
              <w:jc w:val="center"/>
            </w:pPr>
            <w:r>
              <w:drawing>
                <wp:inline>
                  <wp:extent cx="5334000" cy="3810000"/>
                  <wp:effectExtent b="0" l="0" r="0" t="0"/>
                  <wp:docPr descr="" title="" id="194" name="Picture"/>
                  <a:graphic>
                    <a:graphicData uri="http://schemas.openxmlformats.org/drawingml/2006/picture">
                      <pic:pic>
                        <pic:nvPicPr>
                          <pic:cNvPr descr="Projekte/Grafiken/03_DCSweepVorspannung.svg" id="1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3"/>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9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Layout w:type="fixed"/>
      </w:tblPr>
      <w:tblGrid>
        <w:gridCol w:w="7920"/>
      </w:tblGrid>
      <w:tr>
        <w:tc>
          <w:tcPr/>
          <w:bookmarkStart w:id="200" w:name="fig-BJT_GegenRueckVorSim1"/>
          <w:p>
            <w:pPr>
              <w:pStyle w:val="Compact"/>
              <w:jc w:val="center"/>
            </w:pPr>
            <w:r>
              <w:drawing>
                <wp:inline>
                  <wp:extent cx="5334000" cy="7620000"/>
                  <wp:effectExtent b="0" l="0" r="0" t="0"/>
                  <wp:docPr descr="" title="" id="198" name="Picture"/>
                  <a:graphic>
                    <a:graphicData uri="http://schemas.openxmlformats.org/drawingml/2006/picture">
                      <pic:pic>
                        <pic:nvPicPr>
                          <pic:cNvPr descr="Projekte/Grafiken/03_Transient%20Analysis.svg" id="1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7"/>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200"/>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01" name="Picture"/>
                  <a:graphic>
                    <a:graphicData uri="http://schemas.openxmlformats.org/drawingml/2006/picture">
                      <pic:pic>
                        <pic:nvPicPr>
                          <pic:cNvPr descr="C:\Users\leo\AppData\Local\Programs\Quarto\share\formats\docx\note.png" id="20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203"/>
    <w:bookmarkStart w:id="256"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welche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Layout w:type="fixed"/>
      </w:tblPr>
      <w:tblGrid>
        <w:gridCol w:w="7920"/>
      </w:tblGrid>
      <w:tr>
        <w:tc>
          <w:tcPr/>
          <w:bookmarkStart w:id="207" w:name="fig-BJT_GegenRueckVorReal2"/>
          <w:p>
            <w:pPr>
              <w:pStyle w:val="Compact"/>
              <w:jc w:val="center"/>
            </w:pPr>
            <w:r>
              <w:drawing>
                <wp:inline>
                  <wp:extent cx="2097365" cy="1470713"/>
                  <wp:effectExtent b="0" l="0" r="0" t="0"/>
                  <wp:docPr descr="" title="" id="205" name="Picture"/>
                  <a:graphic>
                    <a:graphicData uri="http://schemas.openxmlformats.org/drawingml/2006/picture">
                      <pic:pic>
                        <pic:nvPicPr>
                          <pic:cNvPr descr="Projekte/Grafiken/04.01_LV_Reale_Vorspannung.png" id="206" name="Picture"/>
                          <pic:cNvPicPr>
                            <a:picLocks noChangeArrowheads="1" noChangeAspect="1"/>
                          </pic:cNvPicPr>
                        </pic:nvPicPr>
                        <pic:blipFill>
                          <a:blip r:embed="rId204"/>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207"/>
        </w:tc>
      </w:tr>
    </w:tbl>
    <w:p>
      <w:pPr>
        <w:pStyle w:val="BodyText"/>
      </w:pPr>
      <w:r>
        <w:t xml:space="preserve">Der Ablauf ist wie folgt und gilt für alle Dimensionierungsaufgaben von Schaltungen.</w:t>
      </w:r>
    </w:p>
    <w:bookmarkStart w:id="230"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 der Vorspannungsquelle</w:t>
      </w:r>
      <w:r>
        <w:t xml:space="preserve"> </w:t>
      </w:r>
      <m:oMath>
        <m:sSub>
          <m:e>
            <m:r>
              <m:t>I</m:t>
            </m:r>
          </m:e>
          <m:sub>
            <m:r>
              <m:t>L</m:t>
            </m:r>
            <m:r>
              <m:t>m</m:t>
            </m:r>
            <m:r>
              <m:t>a</m:t>
            </m:r>
            <m:r>
              <m:t>x</m:t>
            </m:r>
            <m:r>
              <m:t>V</m:t>
            </m:r>
            <m:r>
              <m:t>v</m:t>
            </m:r>
            <m:r>
              <m:t>o</m:t>
            </m:r>
            <m:r>
              <m:t>r</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 indem der maximale Strom der Vorspannungsquelle im Betrieb mittels Simulation bestimmt wurde und mit einer gewissen Sicherheit aufgerundet wurde.</w:t>
      </w:r>
    </w:p>
    <w:p>
      <w:pPr>
        <w:pStyle w:val="BodyText"/>
      </w:pPr>
      <m:oMathPara>
        <m:oMathParaPr>
          <m:jc m:val="center"/>
        </m:oMathParaPr>
        <m:oMath>
          <m:sSub>
            <m:e>
              <m:r>
                <m:t>I</m:t>
              </m:r>
            </m:e>
            <m:sub>
              <m:r>
                <m:t>L</m:t>
              </m:r>
              <m:r>
                <m:t>m</m:t>
              </m:r>
              <m:r>
                <m:t>a</m:t>
              </m:r>
              <m:r>
                <m:t>x</m:t>
              </m:r>
              <m:r>
                <m:t>V</m:t>
              </m:r>
              <m:r>
                <m:t>v</m:t>
              </m:r>
              <m:r>
                <m:t>o</m:t>
              </m:r>
              <m:r>
                <m:t>r</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zu groß sind. Folgende</w:t>
      </w:r>
      <w:r>
        <w:t xml:space="preserve"> </w:t>
      </w:r>
      <w:r>
        <w:rPr>
          <w:iCs/>
          <w:i/>
        </w:rPr>
        <w:t xml:space="preserve">Faustregeln</w:t>
      </w:r>
      <w:r>
        <w:t xml:space="preserve"> </w:t>
      </w:r>
      <w:r>
        <w:t xml:space="preserve">gelten für die Berechnung:</w:t>
      </w:r>
    </w:p>
    <w:p>
      <w:pPr>
        <w:pStyle w:val="BodyText"/>
      </w:pPr>
      <w:bookmarkStart w:id="2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208"/>
    </w:p>
    <w:p>
      <w:pPr>
        <w:pStyle w:val="FirstParagraph"/>
      </w:pPr>
      <w:bookmarkStart w:id="209"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209"/>
    </w:p>
    <w:p>
      <w:pPr>
        <w:pStyle w:val="FirstParagraph"/>
      </w:pPr>
      <w:bookmarkStart w:id="210" w:name="eq-Ispg_eq"/>
      <m:oMathPara>
        <m:oMathParaPr>
          <m:jc m:val="center"/>
        </m:oMathParaPr>
        <m:oMath>
          <m:sSub>
            <m:e>
              <m:r>
                <m:t>I</m:t>
              </m:r>
            </m:e>
            <m:sub>
              <m:r>
                <m:t>S</m:t>
              </m:r>
              <m:r>
                <m:t>p</m:t>
              </m:r>
              <m:r>
                <m:t>g</m:t>
              </m:r>
            </m:sub>
          </m:sSub>
          <m:r>
            <m:rPr>
              <m:sty m:val="p"/>
            </m:rPr>
            <m:t>=</m:t>
          </m:r>
          <m:r>
            <m:t>20</m:t>
          </m:r>
          <m:sSub>
            <m:e>
              <m:r>
                <m:t>I</m:t>
              </m:r>
            </m:e>
            <m:sub>
              <m:r>
                <m:t>L</m:t>
              </m:r>
              <m:r>
                <m:t>m</m:t>
              </m:r>
              <m:r>
                <m:t>a</m:t>
              </m:r>
              <m:r>
                <m:t>x</m:t>
              </m:r>
              <m:r>
                <m:t>V</m:t>
              </m:r>
              <m:r>
                <m:t>v</m:t>
              </m:r>
              <m:r>
                <m:t>o</m:t>
              </m:r>
              <m:r>
                <m:t>r</m:t>
              </m:r>
            </m:sub>
          </m:sSub>
          <m:r>
            <m:t>  </m:t>
          </m:r>
          <m:d>
            <m:dPr>
              <m:begChr m:val="("/>
              <m:endChr m:val=")"/>
              <m:sepChr m:val=""/>
              <m:grow/>
            </m:dPr>
            <m:e>
              <m:r>
                <m:t>4.3</m:t>
              </m:r>
            </m:e>
          </m:d>
        </m:oMath>
      </m:oMathPara>
      <w:bookmarkEnd w:id="210"/>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2</m:t>
            </m:r>
          </m:sub>
        </m:sSub>
      </m:oMath>
      <w:r>
        <w:t xml:space="preserve"> </w:t>
      </w:r>
      <w:r>
        <w:t xml:space="preserve">und</w:t>
      </w:r>
      <w:r>
        <w:t xml:space="preserve"> </w:t>
      </w:r>
      <m:oMath>
        <m:sSub>
          <m:e>
            <m:r>
              <m:t>U</m:t>
            </m:r>
          </m:e>
          <m:sub>
            <m:r>
              <m:t>B</m:t>
            </m:r>
            <m:r>
              <m:t>E</m:t>
            </m:r>
          </m:sub>
        </m:sSub>
      </m:oMath>
      <w:r>
        <w:t xml:space="preserve">.</w:t>
      </w:r>
    </w:p>
    <w:p>
      <w:pPr>
        <w:pStyle w:val="BodyText"/>
      </w:pPr>
      <w:bookmarkStart w:id="211"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211"/>
    </w:p>
    <w:p>
      <w:pPr>
        <w:pStyle w:val="FirstParagraph"/>
      </w:pPr>
      <w:bookmarkStart w:id="212"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212"/>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13"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13"/>
    </w:p>
    <w:p>
      <w:pPr>
        <w:pStyle w:val="FirstParagraph"/>
      </w:pPr>
      <w:bookmarkStart w:id="214"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14"/>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eingesetzt wird.</w:t>
      </w:r>
    </w:p>
    <w:p>
      <w:pPr>
        <w:pStyle w:val="BodyText"/>
      </w:pPr>
      <w:bookmarkStart w:id="215"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15"/>
    </w:p>
    <w:p>
      <w:pPr>
        <w:pStyle w:val="FirstParagraph"/>
      </w:pPr>
      <w:bookmarkStart w:id="216"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16"/>
    </w:p>
    <w:p>
      <w:pPr>
        <w:pStyle w:val="FirstParagraph"/>
      </w:pPr>
      <w:bookmarkStart w:id="217"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17"/>
    </w:p>
    <w:p>
      <w:pPr>
        <w:pStyle w:val="FirstParagraph"/>
      </w:pPr>
      <w:bookmarkStart w:id="218"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18"/>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Gleichung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19"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19"/>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20"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20"/>
    </w:p>
    <w:p>
      <w:pPr>
        <w:pStyle w:val="FirstParagraph"/>
      </w:pPr>
      <w:bookmarkStart w:id="221"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r>
                <m:t>V</m:t>
              </m:r>
              <m:r>
                <m:t>v</m:t>
              </m:r>
              <m:r>
                <m:t>o</m:t>
              </m:r>
              <m:r>
                <m:t>r</m:t>
              </m:r>
            </m:sub>
          </m:sSub>
          <m:r>
            <m:t>  </m:t>
          </m:r>
          <m:d>
            <m:dPr>
              <m:begChr m:val="("/>
              <m:endChr m:val=")"/>
              <m:sepChr m:val=""/>
              <m:grow/>
            </m:dPr>
            <m:e>
              <m:r>
                <m:t>4.14</m:t>
              </m:r>
            </m:e>
          </m:d>
        </m:oMath>
      </m:oMathPara>
      <w:bookmarkEnd w:id="221"/>
    </w:p>
    <w:p>
      <w:pPr>
        <w:pStyle w:val="FirstParagraph"/>
      </w:pPr>
      <w:bookmarkStart w:id="222"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r>
                    <m:t>V</m:t>
                  </m:r>
                  <m:r>
                    <m:t>v</m:t>
                  </m:r>
                  <m:r>
                    <m:t>o</m:t>
                  </m:r>
                  <m:r>
                    <m:t>r</m:t>
                  </m:r>
                </m:sub>
              </m:sSub>
            </m:num>
            <m:den>
              <m:r>
                <m:t>111</m:t>
              </m:r>
            </m:den>
          </m:f>
          <m:r>
            <m:t>  </m:t>
          </m:r>
          <m:d>
            <m:dPr>
              <m:begChr m:val="("/>
              <m:endChr m:val=")"/>
              <m:sepChr m:val=""/>
              <m:grow/>
            </m:dPr>
            <m:e>
              <m:r>
                <m:t>4.15</m:t>
              </m:r>
            </m:e>
          </m:d>
        </m:oMath>
      </m:oMathPara>
      <w:bookmarkEnd w:id="222"/>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23"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23"/>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24"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24"/>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25"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25"/>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26"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26"/>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27"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27"/>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8" name="Picture"/>
                  <a:graphic>
                    <a:graphicData uri="http://schemas.openxmlformats.org/drawingml/2006/picture">
                      <pic:pic>
                        <pic:nvPicPr>
                          <pic:cNvPr descr="C:\Users\leo\AppData\Local\Programs\Quarto\share\formats\docx\note.png" id="2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30"/>
    <w:bookmarkStart w:id="243"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Überprüfung wird eine</w:t>
      </w:r>
      <w:r>
        <w:t xml:space="preserve"> </w:t>
      </w:r>
      <w:r>
        <w:t xml:space="preserve">“</w:t>
      </w:r>
      <w:r>
        <w:t xml:space="preserve">OP</w:t>
      </w:r>
      <w:r>
        <w:t xml:space="preserve">”</w:t>
      </w:r>
      <w:r>
        <w:t xml:space="preserve"> </w:t>
      </w:r>
      <w:r>
        <w:t xml:space="preserve">(Operating Point) 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Layout w:type="fixed"/>
      </w:tblPr>
      <w:tblGrid>
        <w:gridCol w:w="7920"/>
      </w:tblGrid>
      <w:tr>
        <w:tc>
          <w:tcPr/>
          <w:bookmarkStart w:id="234" w:name="fig-BJT_LV_RealeSpannungsquelleSim1"/>
          <w:p>
            <w:pPr>
              <w:pStyle w:val="Compact"/>
              <w:jc w:val="center"/>
            </w:pPr>
            <w:r>
              <w:drawing>
                <wp:inline>
                  <wp:extent cx="5334000" cy="3178208"/>
                  <wp:effectExtent b="0" l="0" r="0" t="0"/>
                  <wp:docPr descr="" title="" id="232" name="Picture"/>
                  <a:graphic>
                    <a:graphicData uri="http://schemas.openxmlformats.org/drawingml/2006/picture">
                      <pic:pic>
                        <pic:nvPicPr>
                          <pic:cNvPr descr="Projekte/Grafiken/04.01_LV_RealeSpannungsquelleSim1.png" id="233" name="Picture"/>
                          <pic:cNvPicPr>
                            <a:picLocks noChangeArrowheads="1" noChangeAspect="1"/>
                          </pic:cNvPicPr>
                        </pic:nvPicPr>
                        <pic:blipFill>
                          <a:blip r:embed="rId231"/>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34"/>
        </w:tc>
      </w:tr>
    </w:tbl>
    <w:p>
      <w:pPr>
        <w:pStyle w:val="BodyText"/>
      </w:pPr>
      <w:r>
        <w:t xml:space="preserve">Werden die oben berechneten Werte mittels Simulation überprüft,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p>
    <w:p>
      <w:pPr>
        <w:pStyle w:val="BodyText"/>
      </w:pP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8" w:name="fig-BJT_LV_RealeSpannungsquelleSim2"/>
          <w:p>
            <w:pPr>
              <w:pStyle w:val="Compact"/>
              <w:jc w:val="center"/>
            </w:pPr>
            <w:r>
              <w:drawing>
                <wp:inline>
                  <wp:extent cx="5334000" cy="3759286"/>
                  <wp:effectExtent b="0" l="0" r="0" t="0"/>
                  <wp:docPr descr="" title="" id="236" name="Picture"/>
                  <a:graphic>
                    <a:graphicData uri="http://schemas.openxmlformats.org/drawingml/2006/picture">
                      <pic:pic>
                        <pic:nvPicPr>
                          <pic:cNvPr descr="Projekte/Grafiken/04.01_LV_RealeSpannungsquelleSim2.png" id="237" name="Picture"/>
                          <pic:cNvPicPr>
                            <a:picLocks noChangeArrowheads="1" noChangeAspect="1"/>
                          </pic:cNvPicPr>
                        </pic:nvPicPr>
                        <pic:blipFill>
                          <a:blip r:embed="rId235"/>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38"/>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Sweep Bereich</w:t>
            </w:r>
          </w:p>
        </w:tc>
        <w:tc>
          <w:tcPr/>
          <w:p>
            <w:pPr>
              <w:pStyle w:val="Compact"/>
              <w:jc w:val="center"/>
            </w:pPr>
            <m:oMath>
              <m:r>
                <m:t>1</m:t>
              </m:r>
              <m:r>
                <m:t> </m:t>
              </m:r>
              <m:r>
                <m:t>Ω</m:t>
              </m:r>
            </m:oMath>
            <w:r>
              <w:t xml:space="preserve"> </w:t>
            </w:r>
            <w:r>
              <w:t xml:space="preserve">bis</w:t>
            </w:r>
            <w:r>
              <w:t xml:space="preserve"> </w:t>
            </w:r>
            <m:oMath>
              <m:r>
                <m:t>20</m:t>
              </m:r>
              <m:r>
                <m:t> </m:t>
              </m:r>
              <m:r>
                <m:rPr>
                  <m:sty m:val="p"/>
                </m:rPr>
                <m:t>k</m:t>
              </m:r>
              <m:r>
                <m:rPr>
                  <m:sty m:val="p"/>
                </m:rPr>
                <m:t>Ω</m:t>
              </m:r>
            </m:oMath>
            <w:r>
              <w:t xml:space="preserve"> </w:t>
            </w:r>
            <w:r>
              <w:t xml:space="preserve">in</w:t>
            </w:r>
            <w:r>
              <w:t xml:space="preserve"> </w:t>
            </w:r>
            <m:oMath>
              <m:r>
                <m:t>100</m:t>
              </m:r>
              <m:r>
                <m:t> </m:t>
              </m:r>
              <m:r>
                <m:t>Ω</m:t>
              </m:r>
            </m:oMath>
            <w:r>
              <w:t xml:space="preserve"> </w:t>
            </w:r>
            <w:r>
              <w:t xml:space="preserve">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Layout w:type="fixed"/>
      </w:tblPr>
      <w:tblGrid>
        <w:gridCol w:w="7920"/>
      </w:tblGrid>
      <w:tr>
        <w:tc>
          <w:tcPr/>
          <w:bookmarkStart w:id="242" w:name="fig-BJT_LV_RealeSpannungsquelleSim3"/>
          <w:p>
            <w:pPr>
              <w:pStyle w:val="Compact"/>
              <w:jc w:val="center"/>
            </w:pPr>
            <w:r>
              <w:drawing>
                <wp:inline>
                  <wp:extent cx="5334000" cy="3069197"/>
                  <wp:effectExtent b="0" l="0" r="0" t="0"/>
                  <wp:docPr descr="" title="" id="240" name="Picture"/>
                  <a:graphic>
                    <a:graphicData uri="http://schemas.openxmlformats.org/drawingml/2006/picture">
                      <pic:pic>
                        <pic:nvPicPr>
                          <pic:cNvPr descr="Projekte/Grafiken/04.01_LV_RealeSpannungsquelleSim3.png" id="241" name="Picture"/>
                          <pic:cNvPicPr>
                            <a:picLocks noChangeArrowheads="1" noChangeAspect="1"/>
                          </pic:cNvPicPr>
                        </pic:nvPicPr>
                        <pic:blipFill>
                          <a:blip r:embed="rId239"/>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42"/>
        </w:tc>
      </w:tr>
    </w:tbl>
    <w:bookmarkEnd w:id="243"/>
    <w:bookmarkStart w:id="244"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Außerdem ist zu beachten, dass für einen realen Aufbau Widerstandswerte aus den E-Reihen zu wählen sind!</w:t>
      </w:r>
    </w:p>
    <w:bookmarkEnd w:id="244"/>
    <w:bookmarkStart w:id="255"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Layout w:type="fixed"/>
      </w:tblPr>
      <w:tblGrid>
        <w:gridCol w:w="7920"/>
      </w:tblGrid>
      <w:tr>
        <w:tc>
          <w:tcPr/>
          <w:bookmarkStart w:id="248" w:name="fig-BJT_GegenRueckVorReal3"/>
          <w:p>
            <w:pPr>
              <w:pStyle w:val="Compact"/>
              <w:jc w:val="center"/>
            </w:pPr>
            <w:r>
              <w:drawing>
                <wp:inline>
                  <wp:extent cx="5334000" cy="3340971"/>
                  <wp:effectExtent b="0" l="0" r="0" t="0"/>
                  <wp:docPr descr="" title="" id="246" name="Picture"/>
                  <a:graphic>
                    <a:graphicData uri="http://schemas.openxmlformats.org/drawingml/2006/picture">
                      <pic:pic>
                        <pic:nvPicPr>
                          <pic:cNvPr descr="Projekte/Grafiken/04_LV_Reale_VorspannungDCSim1.png" id="247" name="Picture"/>
                          <pic:cNvPicPr>
                            <a:picLocks noChangeArrowheads="1" noChangeAspect="1"/>
                          </pic:cNvPicPr>
                        </pic:nvPicPr>
                        <pic:blipFill>
                          <a:blip r:embed="rId245"/>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48"/>
        </w:tc>
      </w:tr>
    </w:tbl>
    <w:p/>
    <w:tbl>
      <w:tblPr>
        <w:tblStyle w:val="Table"/>
        <w:tblW w:type="pct" w:w="5000"/>
        <w:tblLook w:firstRow="0" w:lastRow="0" w:firstColumn="0" w:lastColumn="0" w:noHBand="0" w:noVBand="0" w:val="0000"/>
        <w:jc w:val="start"/>
        <w:tblLayout w:type="fixed"/>
      </w:tblPr>
      <w:tblGrid>
        <w:gridCol w:w="7920"/>
      </w:tblGrid>
      <w:tr>
        <w:tc>
          <w:tcPr/>
          <w:bookmarkStart w:id="252" w:name="fig-BJT_GegenRueckVorReal4"/>
          <w:p>
            <w:pPr>
              <w:pStyle w:val="Compact"/>
              <w:jc w:val="center"/>
            </w:pPr>
            <w:r>
              <w:drawing>
                <wp:inline>
                  <wp:extent cx="5334000" cy="7620000"/>
                  <wp:effectExtent b="0" l="0" r="0" t="0"/>
                  <wp:docPr descr="" title="" id="250" name="Picture"/>
                  <a:graphic>
                    <a:graphicData uri="http://schemas.openxmlformats.org/drawingml/2006/picture">
                      <pic:pic>
                        <pic:nvPicPr>
                          <pic:cNvPr descr="Projekte/Grafiken/04_Transient%20Analysis.svg" id="2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5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3" name="Picture"/>
                  <a:graphic>
                    <a:graphicData uri="http://schemas.openxmlformats.org/drawingml/2006/picture">
                      <pic:pic>
                        <pic:nvPicPr>
                          <pic:cNvPr descr="C:\Users\leo\AppData\Local\Programs\Quarto\share\formats\docx\note.png" id="2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55"/>
    <w:bookmarkEnd w:id="256"/>
    <w:bookmarkStart w:id="265"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reicht der ausgangsstrom des OPV’s nicht aus um die reale Vorspannungsquelle zu versorgen. Daher müssen zusätzliche Stromquellen eingebaut werden. Da der Verstärker symetrisch aussteuert, müssen zwei Stromquellen eingebaut werden. Eine für die negative und eine für die positive Versorgung.</w:t>
      </w:r>
    </w:p>
    <w:tbl>
      <w:tblPr>
        <w:tblStyle w:val="Table"/>
        <w:tblW w:type="pct" w:w="5000"/>
        <w:tblLook w:firstRow="0" w:lastRow="0" w:firstColumn="0" w:lastColumn="0" w:noHBand="0" w:noVBand="0" w:val="0000"/>
        <w:jc w:val="start"/>
        <w:tblLayout w:type="fixed"/>
      </w:tblPr>
      <w:tblGrid>
        <w:gridCol w:w="7920"/>
      </w:tblGrid>
      <w:tr>
        <w:tc>
          <w:tcPr/>
          <w:bookmarkStart w:id="260" w:name="fig-BJT_GegenRueckVorRealStromDCSim1"/>
          <w:p>
            <w:pPr>
              <w:pStyle w:val="Compact"/>
              <w:jc w:val="center"/>
            </w:pPr>
            <w:r>
              <w:drawing>
                <wp:inline>
                  <wp:extent cx="5334000" cy="3391859"/>
                  <wp:effectExtent b="0" l="0" r="0" t="0"/>
                  <wp:docPr descr="" title="" id="258" name="Picture"/>
                  <a:graphic>
                    <a:graphicData uri="http://schemas.openxmlformats.org/drawingml/2006/picture">
                      <pic:pic>
                        <pic:nvPicPr>
                          <pic:cNvPr descr="Projekte/Grafiken/05_LV_StromquellenDCSim1.png" id="259" name="Picture"/>
                          <pic:cNvPicPr>
                            <a:picLocks noChangeArrowheads="1" noChangeAspect="1"/>
                          </pic:cNvPicPr>
                        </pic:nvPicPr>
                        <pic:blipFill>
                          <a:blip r:embed="rId257"/>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60"/>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64" w:name="fig-BJT_GegenRueckVorRealStromTRANSim1"/>
          <w:p>
            <w:pPr>
              <w:pStyle w:val="Compact"/>
              <w:jc w:val="center"/>
            </w:pPr>
            <w:r>
              <w:drawing>
                <wp:inline>
                  <wp:extent cx="5334000" cy="7620000"/>
                  <wp:effectExtent b="0" l="0" r="0" t="0"/>
                  <wp:docPr descr="" title="" id="262" name="Picture"/>
                  <a:graphic>
                    <a:graphicData uri="http://schemas.openxmlformats.org/drawingml/2006/picture">
                      <pic:pic>
                        <pic:nvPicPr>
                          <pic:cNvPr descr="Projekte/Grafiken/05_Transient%20Analysis.svg" id="2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6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65"/>
    <w:bookmarkStart w:id="282"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Layout w:type="fixed"/>
      </w:tblPr>
      <w:tblGrid>
        <w:gridCol w:w="7920"/>
      </w:tblGrid>
      <w:tr>
        <w:tc>
          <w:tcPr/>
          <w:bookmarkStart w:id="269" w:name="fig-BJT_GegenRueckVorRealStromOPSim1"/>
          <w:p>
            <w:pPr>
              <w:pStyle w:val="Compact"/>
              <w:jc w:val="center"/>
            </w:pPr>
            <w:r>
              <w:drawing>
                <wp:inline>
                  <wp:extent cx="5334000" cy="2446372"/>
                  <wp:effectExtent b="0" l="0" r="0" t="0"/>
                  <wp:docPr descr="" title="" id="267" name="Picture"/>
                  <a:graphic>
                    <a:graphicData uri="http://schemas.openxmlformats.org/drawingml/2006/picture">
                      <pic:pic>
                        <pic:nvPicPr>
                          <pic:cNvPr descr="Projekte/Grafiken/05.01_RealeStromquellenOPSim1.png" id="268" name="Picture"/>
                          <pic:cNvPicPr>
                            <a:picLocks noChangeArrowheads="1" noChangeAspect="1"/>
                          </pic:cNvPicPr>
                        </pic:nvPicPr>
                        <pic:blipFill>
                          <a:blip r:embed="rId266"/>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69"/>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und konstant sein.</w:t>
      </w:r>
    </w:p>
    <w:tbl>
      <w:tblPr>
        <w:tblStyle w:val="Table"/>
        <w:tblW w:type="pct" w:w="5000"/>
        <w:tblLook w:firstRow="0" w:lastRow="0" w:firstColumn="0" w:lastColumn="0" w:noHBand="0" w:noVBand="0" w:val="0000"/>
        <w:jc w:val="start"/>
        <w:tblLayout w:type="fixed"/>
      </w:tblPr>
      <w:tblGrid>
        <w:gridCol w:w="7920"/>
      </w:tblGrid>
      <w:tr>
        <w:tc>
          <w:tcPr/>
          <w:bookmarkStart w:id="273" w:name="X719cdff3826e19c00e00b5b4a6fd8381ad90f32"/>
          <w:p>
            <w:pPr>
              <w:pStyle w:val="Compact"/>
              <w:jc w:val="center"/>
            </w:pPr>
            <w:r>
              <w:drawing>
                <wp:inline>
                  <wp:extent cx="5334000" cy="3240949"/>
                  <wp:effectExtent b="0" l="0" r="0" t="0"/>
                  <wp:docPr descr="" title="" id="271" name="Picture"/>
                  <a:graphic>
                    <a:graphicData uri="http://schemas.openxmlformats.org/drawingml/2006/picture">
                      <pic:pic>
                        <pic:nvPicPr>
                          <pic:cNvPr descr="Projekte/Grafiken/05.01_RealeStromquelleDCSim1.png" id="272" name="Picture"/>
                          <pic:cNvPicPr>
                            <a:picLocks noChangeArrowheads="1" noChangeAspect="1"/>
                          </pic:cNvPicPr>
                        </pic:nvPicPr>
                        <pic:blipFill>
                          <a:blip r:embed="rId270"/>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73"/>
        </w:tc>
      </w:tr>
    </w:tbl>
    <w:p>
      <w:pPr>
        <w:pStyle w:val="BodyText"/>
      </w:pPr>
      <w:r>
        <w:t xml:space="preserve">Nachdem die ausreichende Stabilität gezeigt wurde, können die Stromquellen eingebaut und die gesamte Schaltung auf ihre Qualität überprüft werden.</w:t>
      </w:r>
    </w:p>
    <w:tbl>
      <w:tblPr>
        <w:tblStyle w:val="Table"/>
        <w:tblW w:type="pct" w:w="5000"/>
        <w:tblLook w:firstRow="0" w:lastRow="0" w:firstColumn="0" w:lastColumn="0" w:noHBand="0" w:noVBand="0" w:val="0000"/>
        <w:jc w:val="start"/>
        <w:tblLayout w:type="fixed"/>
      </w:tblPr>
      <w:tblGrid>
        <w:gridCol w:w="7920"/>
      </w:tblGrid>
      <w:tr>
        <w:tc>
          <w:tcPr/>
          <w:bookmarkStart w:id="277" w:name="fig-BJT_06_LV_Real"/>
          <w:p>
            <w:pPr>
              <w:pStyle w:val="Compact"/>
              <w:jc w:val="center"/>
            </w:pPr>
            <w:r>
              <w:drawing>
                <wp:inline>
                  <wp:extent cx="5334000" cy="4903767"/>
                  <wp:effectExtent b="0" l="0" r="0" t="0"/>
                  <wp:docPr descr="" title="" id="275" name="Picture"/>
                  <a:graphic>
                    <a:graphicData uri="http://schemas.openxmlformats.org/drawingml/2006/picture">
                      <pic:pic>
                        <pic:nvPicPr>
                          <pic:cNvPr descr="Projekte/Grafiken/06_LV_Real.png" id="276" name="Picture"/>
                          <pic:cNvPicPr>
                            <a:picLocks noChangeArrowheads="1" noChangeAspect="1"/>
                          </pic:cNvPicPr>
                        </pic:nvPicPr>
                        <pic:blipFill>
                          <a:blip r:embed="rId274"/>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77"/>
        </w:tc>
      </w:tr>
    </w:tbl>
    <w:p/>
    <w:tbl>
      <w:tblPr>
        <w:tblStyle w:val="Table"/>
        <w:tblW w:type="pct" w:w="5000"/>
        <w:tblLook w:firstRow="0" w:lastRow="0" w:firstColumn="0" w:lastColumn="0" w:noHBand="0" w:noVBand="0" w:val="0000"/>
        <w:jc w:val="start"/>
        <w:tblLayout w:type="fixed"/>
      </w:tblPr>
      <w:tblGrid>
        <w:gridCol w:w="7920"/>
      </w:tblGrid>
      <w:tr>
        <w:tc>
          <w:tcPr/>
          <w:bookmarkStart w:id="281" w:name="fig-BJT_06_LV_Real_TRANSim1"/>
          <w:p>
            <w:pPr>
              <w:pStyle w:val="Compact"/>
              <w:jc w:val="center"/>
            </w:pPr>
            <w:r>
              <w:drawing>
                <wp:inline>
                  <wp:extent cx="5334000" cy="7620000"/>
                  <wp:effectExtent b="0" l="0" r="0" t="0"/>
                  <wp:docPr descr="" title="" id="279" name="Picture"/>
                  <a:graphic>
                    <a:graphicData uri="http://schemas.openxmlformats.org/drawingml/2006/picture">
                      <pic:pic>
                        <pic:nvPicPr>
                          <pic:cNvPr descr="Projekte/Grafiken/06_Transient%20Analysis.svg" id="28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8"/>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81"/>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Die Schaltung gilt damit als fertig dimensioniert. Natürlich kann die Schaltung erweitert, adaptiert und verbessert werden. Siehe dazu</w:t>
      </w:r>
      <w:r>
        <w:t xml:space="preserve"> </w:t>
      </w:r>
      <w:hyperlink w:anchor="sec-AbwErw">
        <w:r>
          <w:rPr>
            <w:rStyle w:val="Hyperlink"/>
          </w:rPr>
          <w:t xml:space="preserve">Kapitel 4.9</w:t>
        </w:r>
      </w:hyperlink>
      <w:r>
        <w:t xml:space="preserve">.</w:t>
      </w:r>
    </w:p>
    <w:bookmarkEnd w:id="282"/>
    <w:bookmarkStart w:id="289" w:name="strombegrenzung"/>
    <w:p>
      <w:pPr>
        <w:pStyle w:val="Heading2"/>
      </w:pPr>
      <w:r>
        <w:t xml:space="preserve">4.7 Strombegrenzung</w:t>
      </w:r>
    </w:p>
    <w:p>
      <w:pPr>
        <w:pStyle w:val="FirstParagraph"/>
      </w:pPr>
      <w:r>
        <w:t xml:space="preserve">Um die Schaltung im Kurzschlussfall zu schützen, kann eine Strombegrenzung eingebaut werden</w:t>
      </w:r>
      <w:r>
        <w:t xml:space="preserve"> </w:t>
      </w:r>
      <w:r>
        <w:t xml:space="preserve">[2]</w:t>
      </w:r>
      <w:r>
        <w:t xml:space="preserve">, Abb. 18.30 c . Die Strombegrenzung besteht aus einem Widerstand und einem weiteren Transistor</w:t>
      </w:r>
      <w:r>
        <w:t xml:space="preserve"> </w:t>
      </w:r>
      <w:hyperlink w:anchor="fig-BJT_07_LV_StromBeg">
        <w:r>
          <w:rPr>
            <w:rStyle w:val="Hyperlink"/>
          </w:rPr>
          <w:t xml:space="preserve">Abbildung 4.21</w:t>
        </w:r>
      </w:hyperlink>
      <w:r>
        <w:t xml:space="preserve">.</w:t>
      </w:r>
      <w:r>
        <w:br/>
      </w: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so dimensioniert, dass beim erreichen des maximal erlaubten Stroms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die Spannung zwischen Basis und Emitter 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so groß ist, dass diese zu leiten beginnen. Damit wird die Basis-Emitter Strecke der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kurzgeschlossen und der Stromfluss unterbrochen.</w:t>
      </w:r>
    </w:p>
    <w:tbl>
      <w:tblPr>
        <w:tblStyle w:val="Table"/>
        <w:tblW w:type="pct" w:w="5000"/>
        <w:tblLook w:firstRow="0" w:lastRow="0" w:firstColumn="0" w:lastColumn="0" w:noHBand="0" w:noVBand="0" w:val="0000"/>
        <w:jc w:val="start"/>
        <w:tblLayout w:type="fixed"/>
      </w:tblPr>
      <w:tblGrid>
        <w:gridCol w:w="7920"/>
      </w:tblGrid>
      <w:tr>
        <w:tc>
          <w:tcPr/>
          <w:bookmarkStart w:id="286" w:name="fig-BJT_07_LV_StromBeg"/>
          <w:p>
            <w:pPr>
              <w:pStyle w:val="Compact"/>
              <w:jc w:val="center"/>
            </w:pPr>
            <w:r>
              <w:drawing>
                <wp:inline>
                  <wp:extent cx="5334000" cy="4209857"/>
                  <wp:effectExtent b="0" l="0" r="0" t="0"/>
                  <wp:docPr descr="" title="" id="284" name="Picture"/>
                  <a:graphic>
                    <a:graphicData uri="http://schemas.openxmlformats.org/drawingml/2006/picture">
                      <pic:pic>
                        <pic:nvPicPr>
                          <pic:cNvPr descr="Projekte/Grafiken/07_LV_StromBeg.png" id="285" name="Picture"/>
                          <pic:cNvPicPr>
                            <a:picLocks noChangeArrowheads="1" noChangeAspect="1"/>
                          </pic:cNvPicPr>
                        </pic:nvPicPr>
                        <pic:blipFill>
                          <a:blip r:embed="rId283"/>
                          <a:stretch>
                            <a:fillRect/>
                          </a:stretch>
                        </pic:blipFill>
                        <pic:spPr bwMode="auto">
                          <a:xfrm>
                            <a:off x="0" y="0"/>
                            <a:ext cx="5334000" cy="420985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4.21: Gegentaktendstufe mit Strombegrenzung</w:t>
            </w:r>
          </w:p>
          <w:bookmarkEnd w:id="286"/>
        </w:tc>
      </w:tr>
    </w:tbl>
    <w:p>
      <w:pPr>
        <w:pStyle w:val="BodyText"/>
      </w:pPr>
      <w:r>
        <w:t xml:space="preserve">Die Berechnung der Widerstände kann vereinfacht durch die Annahme erfolgen, dass die Spannung</w:t>
      </w:r>
      <w:r>
        <w:t xml:space="preserve"> </w:t>
      </w:r>
      <m:oMath>
        <m:sSub>
          <m:e>
            <m:r>
              <m:t>U</m:t>
            </m:r>
          </m:e>
          <m:sub>
            <m:r>
              <m:t>B</m:t>
            </m:r>
            <m:r>
              <m:t>E</m:t>
            </m:r>
          </m:sub>
        </m:sSub>
      </m:oMath>
      <w:r>
        <w:t xml:space="preserve"> </w:t>
      </w:r>
      <w:r>
        <w:t xml:space="preserve">der Transistoren</w:t>
      </w:r>
      <w:r>
        <w:t xml:space="preserve"> </w:t>
      </w:r>
      <m:oMath>
        <m:sSub>
          <m:e>
            <m:r>
              <m:t>T</m:t>
            </m:r>
          </m:e>
          <m:sub>
            <m:r>
              <m:t>s</m:t>
            </m:r>
            <m:r>
              <m:t>b</m:t>
            </m:r>
            <m:r>
              <m:t>1</m:t>
            </m:r>
          </m:sub>
        </m:sSub>
      </m:oMath>
      <w:r>
        <w:t xml:space="preserve"> </w:t>
      </w:r>
      <w:r>
        <w:t xml:space="preserve">und</w:t>
      </w:r>
      <w:r>
        <w:t xml:space="preserve"> </w:t>
      </w:r>
      <m:oMath>
        <m:sSub>
          <m:e>
            <m:r>
              <m:t>T</m:t>
            </m:r>
          </m:e>
          <m:sub>
            <m:r>
              <m:t>s</m:t>
            </m:r>
            <m:r>
              <m:t>b</m:t>
            </m:r>
            <m:r>
              <m:t>2</m:t>
            </m:r>
          </m:sub>
        </m:sSub>
      </m:oMath>
      <w:r>
        <w:t xml:space="preserve"> </w:t>
      </w:r>
      <w:r>
        <w:t xml:space="preserve">größer</w:t>
      </w:r>
      <w:r>
        <w:t xml:space="preserve"> </w:t>
      </w:r>
      <m:oMath>
        <m:r>
          <m:t>0</m:t>
        </m:r>
        <m:r>
          <m:rPr>
            <m:sty m:val="p"/>
          </m:rPr>
          <m:t>,</m:t>
        </m:r>
        <m:r>
          <m:t>7</m:t>
        </m:r>
        <m:r>
          <m:t> </m:t>
        </m:r>
        <m:r>
          <m:rPr>
            <m:sty m:val="p"/>
          </m:rPr>
          <m:t>V</m:t>
        </m:r>
      </m:oMath>
      <w:r>
        <w:t xml:space="preserve"> </w:t>
      </w:r>
      <w:r>
        <w:t xml:space="preserve">sein muss um zu leiten.</w:t>
      </w:r>
    </w:p>
    <w:p>
      <w:pPr>
        <w:pStyle w:val="BodyText"/>
      </w:pPr>
      <m:oMathPara>
        <m:oMathParaPr>
          <m:jc m:val="center"/>
        </m:oMathParaPr>
        <m:oMath>
          <m:sSub>
            <m:e>
              <m:r>
                <m:t>U</m:t>
              </m:r>
            </m:e>
            <m:sub>
              <m:r>
                <m:t>B</m:t>
              </m:r>
              <m:r>
                <m:t>E</m:t>
              </m:r>
              <m:r>
                <m:rPr>
                  <m:sty m:val="p"/>
                </m:rPr>
                <m:t>,</m:t>
              </m:r>
              <m:r>
                <m:t>T</m:t>
              </m:r>
              <m:r>
                <m:t>s</m:t>
              </m:r>
              <m:r>
                <m:t>b</m:t>
              </m:r>
            </m:sub>
          </m:sSub>
          <m:r>
            <m:rPr>
              <m:sty m:val="p"/>
            </m:rPr>
            <m:t>=</m:t>
          </m:r>
          <m:r>
            <m:rPr>
              <m:nor/>
              <m:sty m:val="p"/>
            </m:rPr>
            <m:t>700</m:t>
          </m:r>
          <m:r>
            <m:t> </m:t>
          </m:r>
          <m:r>
            <m:rPr>
              <m:nor/>
              <m:sty m:val="p"/>
            </m:rPr>
            <m:t>mV</m:t>
          </m:r>
        </m:oMath>
      </m:oMathPara>
    </w:p>
    <w:p>
      <w:pPr>
        <w:pStyle w:val="FirstParagraph"/>
      </w:pPr>
      <m:oMathPara>
        <m:oMathParaPr>
          <m:jc m:val="center"/>
        </m:oMathParaPr>
        <m:oMath>
          <m:sSub>
            <m:e>
              <m:r>
                <m:t>I</m:t>
              </m:r>
            </m:e>
            <m:sub>
              <m:r>
                <m:t>T</m:t>
              </m:r>
              <m:r>
                <m:t>1</m:t>
              </m:r>
              <m:r>
                <m:rPr>
                  <m:sty m:val="p"/>
                </m:rPr>
                <m:t>,</m:t>
              </m:r>
              <m:r>
                <m:t>m</m:t>
              </m:r>
              <m:r>
                <m:t>a</m:t>
              </m:r>
              <m:r>
                <m:t>x</m:t>
              </m:r>
            </m:sub>
          </m:sSub>
          <m:r>
            <m:rPr>
              <m:sty m:val="p"/>
            </m:rPr>
            <m:t>=</m:t>
          </m:r>
          <m:r>
            <m:rPr>
              <m:nor/>
              <m:sty m:val="p"/>
            </m:rPr>
            <m:t>800</m:t>
          </m:r>
          <m:r>
            <m:t> </m:t>
          </m:r>
          <m:r>
            <m:rPr>
              <m:nor/>
              <m:sty m:val="p"/>
            </m:rPr>
            <m:t>mA</m:t>
          </m:r>
        </m:oMath>
      </m:oMathPara>
    </w:p>
    <w:p>
      <w:pPr>
        <w:pStyle w:val="FirstParagraph"/>
      </w:pPr>
      <m:oMathPara>
        <m:oMathParaPr>
          <m:jc m:val="center"/>
        </m:oMathParaPr>
        <m:oMath>
          <m:sSub>
            <m:e>
              <m:r>
                <m:t>I</m:t>
              </m:r>
            </m:e>
            <m:sub>
              <m:r>
                <m:t>T</m:t>
              </m:r>
              <m:r>
                <m:t>2</m:t>
              </m:r>
              <m:r>
                <m:rPr>
                  <m:sty m:val="p"/>
                </m:rPr>
                <m:t>,</m:t>
              </m:r>
              <m:r>
                <m:t>m</m:t>
              </m:r>
              <m:r>
                <m:t>a</m:t>
              </m:r>
              <m:r>
                <m:t>x</m:t>
              </m:r>
            </m:sub>
          </m:sSub>
          <m:r>
            <m:rPr>
              <m:sty m:val="p"/>
            </m:rPr>
            <m:t>=</m:t>
          </m:r>
          <m:r>
            <m:rPr>
              <m:nor/>
              <m:sty m:val="p"/>
            </m:rPr>
            <m:t>600</m:t>
          </m:r>
          <m:r>
            <m:t> </m:t>
          </m:r>
          <m:r>
            <m:rPr>
              <m:nor/>
              <m:sty m:val="p"/>
            </m:rPr>
            <m:t>mA</m:t>
          </m:r>
        </m:oMath>
      </m:oMathPara>
    </w:p>
    <w:p>
      <w:pPr>
        <w:pStyle w:val="FirstParagraph"/>
      </w:pPr>
      <w:bookmarkStart w:id="287" w:name="eq-Rsb1_eq"/>
      <m:oMathPara>
        <m:oMathParaPr>
          <m:jc m:val="center"/>
        </m:oMathParaPr>
        <m:oMath>
          <m:sSub>
            <m:e>
              <m:r>
                <m:t>R</m:t>
              </m:r>
            </m:e>
            <m:sub>
              <m:r>
                <m:t>s</m:t>
              </m:r>
              <m:r>
                <m:t>b</m:t>
              </m:r>
              <m:r>
                <m:t>1</m:t>
              </m:r>
            </m:sub>
          </m:sSub>
          <m:r>
            <m:rPr>
              <m:sty m:val="p"/>
            </m:rPr>
            <m:t>=</m:t>
          </m:r>
          <m:f>
            <m:fPr>
              <m:type m:val="bar"/>
            </m:fPr>
            <m:num>
              <m:sSub>
                <m:e>
                  <m:r>
                    <m:t>U</m:t>
                  </m:r>
                </m:e>
                <m:sub>
                  <m:r>
                    <m:t>B</m:t>
                  </m:r>
                  <m:r>
                    <m:t>E</m:t>
                  </m:r>
                  <m:r>
                    <m:rPr>
                      <m:sty m:val="p"/>
                    </m:rPr>
                    <m:t>,</m:t>
                  </m:r>
                  <m:r>
                    <m:t>T</m:t>
                  </m:r>
                  <m:r>
                    <m:t>s</m:t>
                  </m:r>
                  <m:r>
                    <m:t>b</m:t>
                  </m:r>
                </m:sub>
              </m:sSub>
            </m:num>
            <m:den>
              <m:sSub>
                <m:e>
                  <m:r>
                    <m:t>I</m:t>
                  </m:r>
                </m:e>
                <m:sub>
                  <m:r>
                    <m:t>T</m:t>
                  </m:r>
                  <m:r>
                    <m:t>1</m:t>
                  </m:r>
                  <m:r>
                    <m:rPr>
                      <m:sty m:val="p"/>
                    </m:rPr>
                    <m:t>,</m:t>
                  </m:r>
                  <m:r>
                    <m:t>m</m:t>
                  </m:r>
                  <m:r>
                    <m:t>a</m:t>
                  </m:r>
                  <m:r>
                    <m:t>x</m:t>
                  </m:r>
                </m:sub>
              </m:sSub>
            </m:den>
          </m:f>
          <m:r>
            <m:t>  </m:t>
          </m:r>
          <m:d>
            <m:dPr>
              <m:begChr m:val="("/>
              <m:endChr m:val=")"/>
              <m:sepChr m:val=""/>
              <m:grow/>
            </m:dPr>
            <m:e>
              <m:r>
                <m:t>4.21</m:t>
              </m:r>
            </m:e>
          </m:d>
        </m:oMath>
      </m:oMathPara>
      <w:bookmarkEnd w:id="287"/>
    </w:p>
    <w:p>
      <w:pPr>
        <w:pStyle w:val="FirstParagraph"/>
      </w:pPr>
      <m:oMathPara>
        <m:oMathParaPr>
          <m:jc m:val="center"/>
        </m:oMathParaPr>
        <m:oMath>
          <m:sSub>
            <m:e>
              <m:r>
                <m:t>R</m:t>
              </m:r>
            </m:e>
            <m:sub>
              <m:r>
                <m:t>s</m:t>
              </m:r>
              <m:r>
                <m:t>b</m:t>
              </m:r>
              <m:r>
                <m:t>1</m:t>
              </m:r>
            </m:sub>
          </m:sSub>
          <m:r>
            <m:rPr>
              <m:sty m:val="p"/>
            </m:rPr>
            <m:t>=</m:t>
          </m:r>
          <m:r>
            <m:rPr>
              <m:nor/>
              <m:sty m:val="p"/>
            </m:rPr>
            <m:t>875</m:t>
          </m:r>
          <m:r>
            <m:t> </m:t>
          </m:r>
          <m:r>
            <m:rPr>
              <m:sty m:val="p"/>
            </m:rPr>
            <m:t>m</m:t>
          </m:r>
          <m:r>
            <m:rPr>
              <m:sty m:val="p"/>
            </m:rPr>
            <m:t>Ω</m:t>
          </m:r>
        </m:oMath>
      </m:oMathPara>
    </w:p>
    <w:p>
      <w:pPr>
        <w:pStyle w:val="FirstParagraph"/>
      </w:pPr>
      <w:bookmarkStart w:id="288" w:name="eq-Rsb2_eq"/>
      <m:oMathPara>
        <m:oMathParaPr>
          <m:jc m:val="center"/>
        </m:oMathParaPr>
        <m:oMath>
          <m:sSub>
            <m:e>
              <m:r>
                <m:t>R</m:t>
              </m:r>
            </m:e>
            <m:sub>
              <m:r>
                <m:t>s</m:t>
              </m:r>
              <m:r>
                <m:t>b</m:t>
              </m:r>
              <m:r>
                <m:t>2</m:t>
              </m:r>
            </m:sub>
          </m:sSub>
          <m:r>
            <m:rPr>
              <m:sty m:val="p"/>
            </m:rPr>
            <m:t>=</m:t>
          </m:r>
          <m:f>
            <m:fPr>
              <m:type m:val="bar"/>
            </m:fPr>
            <m:num>
              <m:sSub>
                <m:e>
                  <m:r>
                    <m:t>U</m:t>
                  </m:r>
                </m:e>
                <m:sub>
                  <m:r>
                    <m:t>B</m:t>
                  </m:r>
                  <m:r>
                    <m:t>E</m:t>
                  </m:r>
                  <m:r>
                    <m:rPr>
                      <m:sty m:val="p"/>
                    </m:rPr>
                    <m:t>,</m:t>
                  </m:r>
                  <m:r>
                    <m:t>T</m:t>
                  </m:r>
                  <m:r>
                    <m:t>s</m:t>
                  </m:r>
                  <m:r>
                    <m:t>b</m:t>
                  </m:r>
                </m:sub>
              </m:sSub>
            </m:num>
            <m:den>
              <m:sSub>
                <m:e>
                  <m:r>
                    <m:t>I</m:t>
                  </m:r>
                </m:e>
                <m:sub>
                  <m:r>
                    <m:t>T</m:t>
                  </m:r>
                  <m:r>
                    <m:t>2</m:t>
                  </m:r>
                  <m:r>
                    <m:rPr>
                      <m:sty m:val="p"/>
                    </m:rPr>
                    <m:t>,</m:t>
                  </m:r>
                  <m:r>
                    <m:t>m</m:t>
                  </m:r>
                  <m:r>
                    <m:t>a</m:t>
                  </m:r>
                  <m:r>
                    <m:t>x</m:t>
                  </m:r>
                </m:sub>
              </m:sSub>
            </m:den>
          </m:f>
          <m:r>
            <m:t>  </m:t>
          </m:r>
          <m:d>
            <m:dPr>
              <m:begChr m:val="("/>
              <m:endChr m:val=")"/>
              <m:sepChr m:val=""/>
              <m:grow/>
            </m:dPr>
            <m:e>
              <m:r>
                <m:t>4.22</m:t>
              </m:r>
            </m:e>
          </m:d>
        </m:oMath>
      </m:oMathPara>
      <w:bookmarkEnd w:id="288"/>
    </w:p>
    <w:p>
      <w:pPr>
        <w:pStyle w:val="FirstParagraph"/>
      </w:pPr>
      <m:oMathPara>
        <m:oMathParaPr>
          <m:jc m:val="center"/>
        </m:oMathParaPr>
        <m:oMath>
          <m:sSub>
            <m:e>
              <m:r>
                <m:t>R</m:t>
              </m:r>
            </m:e>
            <m:sub>
              <m:r>
                <m:t>s</m:t>
              </m:r>
              <m:r>
                <m:t>b</m:t>
              </m:r>
              <m:r>
                <m:t>2</m:t>
              </m:r>
            </m:sub>
          </m:sSub>
          <m:r>
            <m:rPr>
              <m:sty m:val="p"/>
            </m:rPr>
            <m:t>=</m:t>
          </m:r>
          <m:r>
            <m:rPr>
              <m:nor/>
              <m:sty m:val="p"/>
            </m:rPr>
            <m:t>1.17</m:t>
          </m:r>
          <m:r>
            <m:t> </m:t>
          </m:r>
          <m:r>
            <m:rPr>
              <m:sty m:val="p"/>
            </m:rPr>
            <m:t>Ω</m:t>
          </m:r>
        </m:oMath>
      </m:oMathPara>
    </w:p>
    <w:p>
      <w:pPr>
        <w:pStyle w:val="FirstParagraph"/>
      </w:pPr>
      <w:r>
        <w:t xml:space="preserve">Die Widerstände</w:t>
      </w:r>
      <w:r>
        <w:t xml:space="preserve"> </w:t>
      </w:r>
      <m:oMath>
        <m:sSub>
          <m:e>
            <m:r>
              <m:t>R</m:t>
            </m:r>
          </m:e>
          <m:sub>
            <m:r>
              <m:t>s</m:t>
            </m:r>
            <m:r>
              <m:t>b</m:t>
            </m:r>
            <m:r>
              <m:t>1</m:t>
            </m:r>
          </m:sub>
        </m:sSub>
      </m:oMath>
      <w:r>
        <w:t xml:space="preserve"> </w:t>
      </w:r>
      <w:r>
        <w:t xml:space="preserve">und</w:t>
      </w:r>
      <w:r>
        <w:t xml:space="preserve"> </w:t>
      </w:r>
      <m:oMath>
        <m:sSub>
          <m:e>
            <m:r>
              <m:t>R</m:t>
            </m:r>
          </m:e>
          <m:sub>
            <m:r>
              <m:t>s</m:t>
            </m:r>
            <m:r>
              <m:t>b</m:t>
            </m:r>
            <m:r>
              <m:t>2</m:t>
            </m:r>
          </m:sub>
        </m:sSub>
      </m:oMath>
      <w:r>
        <w:t xml:space="preserve"> </w:t>
      </w:r>
      <w:r>
        <w:t xml:space="preserve">werden zum nächsten Wert der E12 Reihe ausgewählt und die Schaltung mittels Simualtion überprüft.</w:t>
      </w:r>
    </w:p>
    <w:p>
      <w:pPr>
        <w:pStyle w:val="BodyText"/>
      </w:pPr>
      <w:r>
        <w:t xml:space="preserve">Es ist gut zu erkennen wie die Ströme durch die Transistoren</w:t>
      </w:r>
      <w:r>
        <w:t xml:space="preserve"> </w:t>
      </w:r>
      <m:oMath>
        <m:sSub>
          <m:e>
            <m:r>
              <m:t>T</m:t>
            </m:r>
          </m:e>
          <m:sub>
            <m:r>
              <m:t>1</m:t>
            </m:r>
          </m:sub>
        </m:sSub>
      </m:oMath>
      <w:r>
        <w:t xml:space="preserve"> </w:t>
      </w:r>
      <w:r>
        <w:t xml:space="preserve">und</w:t>
      </w:r>
      <w:r>
        <w:t xml:space="preserve"> </w:t>
      </w:r>
      <m:oMath>
        <m:sSub>
          <m:e>
            <m:r>
              <m:t>T</m:t>
            </m:r>
          </m:e>
          <m:sub>
            <m:r>
              <m:t>2</m:t>
            </m:r>
          </m:sub>
        </m:sSub>
      </m:oMath>
      <w:r>
        <w:t xml:space="preserve"> </w:t>
      </w:r>
      <w:r>
        <w:t xml:space="preserve">korrekt begrenzt werden. Nun gilt es, mittels Simulation, nachzuweisen, dass die Schaltung auch im Normalbetrieb noch funktioniert.</w:t>
      </w:r>
    </w:p>
    <w:p>
      <w:pPr>
        <w:pStyle w:val="BodyText"/>
      </w:pPr>
      <w:r>
        <w:t xml:space="preserve">Werden die Werte mit Strombegrenzung</w:t>
      </w:r>
      <w:r>
        <w:t xml:space="preserve"> </w:t>
      </w:r>
      <w:r>
        <w:rPr>
          <w:bCs/>
          <w:b/>
        </w:rPr>
        <w:t xml:space="preserve">?@fig-BJT_07_LV_StromGeb_Normal_TRANSim1</w:t>
      </w:r>
      <w:r>
        <w:t xml:space="preserve"> </w:t>
      </w:r>
      <w:r>
        <w:t xml:space="preserve">mit den Werten ohne Strombegrenzung</w:t>
      </w:r>
      <w:r>
        <w:t xml:space="preserve"> </w:t>
      </w:r>
      <w:hyperlink w:anchor="fig-BJT_06_LV_Real_TRANSim1">
        <w:r>
          <w:rPr>
            <w:rStyle w:val="Hyperlink"/>
          </w:rPr>
          <w:t xml:space="preserve">Abbildung 4.20</w:t>
        </w:r>
      </w:hyperlink>
      <w:r>
        <w:t xml:space="preserve"> </w:t>
      </w:r>
      <w:r>
        <w:t xml:space="preserve">verglichen, ist zu erkennen, dass die Schaltung eine leicht höhere Abweichung zwischen Eingangsspannung und Ausgangsspannung aufweist. Ob die Abweichung akzeptabel ist, muss im Einzelfall entschieden werden. Für unsere Zwecke stellen wir fest, dass die Schaltung nach wie vor das Signal in ausreichender Qualität verstärkt.</w:t>
      </w:r>
      <w:r>
        <w:br/>
      </w:r>
      <w:r>
        <w:t xml:space="preserve">Somit ist festzuhalten, dass die erweiterung um die Strombegrenzung lediglich in der Verlustleistung zu Buche schlägt, jedoch keine Auswirkungen auf die Qualität der Verstärkung hat.</w:t>
      </w:r>
    </w:p>
    <w:bookmarkEnd w:id="289"/>
    <w:bookmarkStart w:id="290" w:name="praktische-herangehensweise"/>
    <w:p>
      <w:pPr>
        <w:pStyle w:val="Heading2"/>
      </w:pPr>
      <w:r>
        <w:t xml:space="preserve">4.8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90"/>
    <w:bookmarkStart w:id="291" w:name="sec-AbwErw"/>
    <w:p>
      <w:pPr>
        <w:pStyle w:val="Heading2"/>
      </w:pPr>
      <w:r>
        <w:t xml:space="preserve">4.9 Abwandlungen und Erweiterungen</w:t>
      </w:r>
    </w:p>
    <w:p>
      <w:pPr>
        <w:pStyle w:val="FirstParagraph"/>
      </w:pPr>
      <w:r>
        <w:t xml:space="preserve">Wie könnte die Rückkopplung, welche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91"/>
    <w:bookmarkEnd w:id="292"/>
    <w:bookmarkStart w:id="355"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Notes/Datenblätter der Hersteller lesen und verstehen</w:t>
      </w:r>
    </w:p>
    <w:p>
      <w:pPr>
        <w:pStyle w:val="FirstParagraph"/>
      </w:pPr>
      <w:r>
        <w:rPr>
          <w:bCs/>
          <w:b/>
        </w:rPr>
        <w:t xml:space="preserve">Hilfestellung</w:t>
      </w:r>
    </w:p>
    <w:p>
      <w:pPr>
        <w:pStyle w:val="BodyText"/>
      </w:pPr>
      <w:hyperlink r:id="rId293">
        <w:r>
          <w:rPr>
            <w:rStyle w:val="Hyperlink"/>
          </w:rPr>
          <w:t xml:space="preserve">Video: Hierarchisches Design</w:t>
        </w:r>
      </w:hyperlink>
      <w:r>
        <w:br/>
      </w:r>
      <w:hyperlink r:id="rId294">
        <w:r>
          <w:rPr>
            <w:rStyle w:val="Hyperlink"/>
          </w:rPr>
          <w:t xml:space="preserve">Altium Hilfe: Multi-sheet &amp; Hierarchical Designs in Altium Designer</w:t>
        </w:r>
      </w:hyperlink>
    </w:p>
    <w:bookmarkStart w:id="319"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98" w:name="fig-H-Bruecke"/>
          <w:p>
            <w:pPr>
              <w:pStyle w:val="Compact"/>
              <w:jc w:val="center"/>
            </w:pPr>
            <w:r>
              <w:drawing>
                <wp:inline>
                  <wp:extent cx="5334000" cy="3718089"/>
                  <wp:effectExtent b="0" l="0" r="0" t="0"/>
                  <wp:docPr descr="" title="" id="296" name="Picture"/>
                  <a:graphic>
                    <a:graphicData uri="http://schemas.openxmlformats.org/drawingml/2006/picture">
                      <pic:pic>
                        <pic:nvPicPr>
                          <pic:cNvPr descr="Projekte/Grafiken/Hbruecke/Vierquadrantensteller.png" id="297" name="Picture"/>
                          <pic:cNvPicPr>
                            <a:picLocks noChangeArrowheads="1" noChangeAspect="1"/>
                          </pic:cNvPicPr>
                        </pic:nvPicPr>
                        <pic:blipFill>
                          <a:blip r:embed="rId295"/>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98"/>
        </w:tc>
      </w:tr>
    </w:tbl>
    <w:bookmarkStart w:id="318"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02" w:name="fig-H-BrueckeMS"/>
          <w:p>
            <w:pPr>
              <w:pStyle w:val="Compact"/>
              <w:jc w:val="center"/>
            </w:pPr>
            <w:r>
              <w:drawing>
                <wp:inline>
                  <wp:extent cx="3556000" cy="3759200"/>
                  <wp:effectExtent b="0" l="0" r="0" t="0"/>
                  <wp:docPr descr="" title="" id="300" name="Picture"/>
                  <a:graphic>
                    <a:graphicData uri="http://schemas.openxmlformats.org/drawingml/2006/picture">
                      <pic:pic>
                        <pic:nvPicPr>
                          <pic:cNvPr descr="Projekte/Grafiken/Hbruecke/MitSchaltern.png" id="301" name="Picture"/>
                          <pic:cNvPicPr>
                            <a:picLocks noChangeArrowheads="1" noChangeAspect="1"/>
                          </pic:cNvPicPr>
                        </pic:nvPicPr>
                        <pic:blipFill>
                          <a:blip r:embed="rId299"/>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302"/>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307" w:name="linkslauf"/>
    <w:p>
      <w:pPr>
        <w:pStyle w:val="Heading4"/>
      </w:pPr>
      <w:r>
        <w:t xml:space="preserve">5.1.1.1 Linkslauf</w:t>
      </w:r>
    </w:p>
    <w:tbl>
      <w:tblPr>
        <w:tblStyle w:val="Table"/>
        <w:tblW w:type="pct" w:w="5000"/>
        <w:tblLook w:firstRow="0" w:lastRow="0" w:firstColumn="0" w:lastColumn="0" w:noHBand="0" w:noVBand="0" w:val="0000"/>
        <w:jc w:val="start"/>
        <w:tblLayout w:type="fixed"/>
      </w:tblPr>
      <w:tblGrid>
        <w:gridCol w:w="7920"/>
      </w:tblGrid>
      <w:tr>
        <w:tc>
          <w:tcPr/>
          <w:bookmarkStart w:id="306" w:name="fig-H-BrueckeMSLL"/>
          <w:p>
            <w:pPr>
              <w:pStyle w:val="Compact"/>
              <w:jc w:val="center"/>
            </w:pPr>
            <w:r>
              <w:drawing>
                <wp:inline>
                  <wp:extent cx="3556000" cy="3759200"/>
                  <wp:effectExtent b="0" l="0" r="0" t="0"/>
                  <wp:docPr descr="" title="" id="304" name="Picture"/>
                  <a:graphic>
                    <a:graphicData uri="http://schemas.openxmlformats.org/drawingml/2006/picture">
                      <pic:pic>
                        <pic:nvPicPr>
                          <pic:cNvPr descr="Projekte/Grafiken/Hbruecke/MitSchalternLL.png" id="305" name="Picture"/>
                          <pic:cNvPicPr>
                            <a:picLocks noChangeArrowheads="1" noChangeAspect="1"/>
                          </pic:cNvPicPr>
                        </pic:nvPicPr>
                        <pic:blipFill>
                          <a:blip r:embed="rId30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306"/>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307"/>
    <w:bookmarkStart w:id="312" w:name="rechtslauf"/>
    <w:p>
      <w:pPr>
        <w:pStyle w:val="Heading4"/>
      </w:pPr>
      <w:r>
        <w:t xml:space="preserve">5.1.1.2 Rechtslauf</w:t>
      </w:r>
    </w:p>
    <w:tbl>
      <w:tblPr>
        <w:tblStyle w:val="Table"/>
        <w:tblW w:type="pct" w:w="5000"/>
        <w:tblLook w:firstRow="0" w:lastRow="0" w:firstColumn="0" w:lastColumn="0" w:noHBand="0" w:noVBand="0" w:val="0000"/>
        <w:jc w:val="start"/>
        <w:tblLayout w:type="fixed"/>
      </w:tblPr>
      <w:tblGrid>
        <w:gridCol w:w="7920"/>
      </w:tblGrid>
      <w:tr>
        <w:tc>
          <w:tcPr/>
          <w:bookmarkStart w:id="311" w:name="fig-H-BrueckeMSRL"/>
          <w:p>
            <w:pPr>
              <w:pStyle w:val="Compact"/>
              <w:jc w:val="center"/>
            </w:pPr>
            <w:r>
              <w:drawing>
                <wp:inline>
                  <wp:extent cx="3556000" cy="3759200"/>
                  <wp:effectExtent b="0" l="0" r="0" t="0"/>
                  <wp:docPr descr="" title="" id="309" name="Picture"/>
                  <a:graphic>
                    <a:graphicData uri="http://schemas.openxmlformats.org/drawingml/2006/picture">
                      <pic:pic>
                        <pic:nvPicPr>
                          <pic:cNvPr descr="Projekte/Grafiken/Hbruecke/MitSchalternRL.png" id="310" name="Picture"/>
                          <pic:cNvPicPr>
                            <a:picLocks noChangeArrowheads="1" noChangeAspect="1"/>
                          </pic:cNvPicPr>
                        </pic:nvPicPr>
                        <pic:blipFill>
                          <a:blip r:embed="rId30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311"/>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312"/>
    <w:bookmarkStart w:id="317"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Layout w:type="fixed"/>
      </w:tblPr>
      <w:tblGrid>
        <w:gridCol w:w="7920"/>
      </w:tblGrid>
      <w:tr>
        <w:tc>
          <w:tcPr/>
          <w:bookmarkStart w:id="316" w:name="fig-H-BrueckeMSBremse"/>
          <w:p>
            <w:pPr>
              <w:pStyle w:val="Compact"/>
              <w:jc w:val="center"/>
            </w:pPr>
            <w:r>
              <w:drawing>
                <wp:inline>
                  <wp:extent cx="3556000" cy="3759200"/>
                  <wp:effectExtent b="0" l="0" r="0" t="0"/>
                  <wp:docPr descr="" title="" id="314" name="Picture"/>
                  <a:graphic>
                    <a:graphicData uri="http://schemas.openxmlformats.org/drawingml/2006/picture">
                      <pic:pic>
                        <pic:nvPicPr>
                          <pic:cNvPr descr="Projekte/Grafiken/Hbruecke/MitSchalternBremse.png" id="315" name="Picture"/>
                          <pic:cNvPicPr>
                            <a:picLocks noChangeArrowheads="1" noChangeAspect="1"/>
                          </pic:cNvPicPr>
                        </pic:nvPicPr>
                        <pic:blipFill>
                          <a:blip r:embed="rId31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316"/>
        </w:tc>
      </w:tr>
    </w:tbl>
    <w:bookmarkEnd w:id="317"/>
    <w:bookmarkEnd w:id="318"/>
    <w:bookmarkEnd w:id="319"/>
    <w:bookmarkStart w:id="333" w:name="entwicklung-der-logik"/>
    <w:p>
      <w:pPr>
        <w:pStyle w:val="Heading2"/>
      </w:pPr>
      <w:r>
        <w:t xml:space="preserve">5.2 Entwicklung der Logik</w:t>
      </w:r>
    </w:p>
    <w:bookmarkStart w:id="325"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tbl>
      <w:tblPr>
        <w:tblStyle w:val="Table"/>
        <w:tblW w:type="pct" w:w="5000"/>
        <w:tblLook w:firstRow="0" w:lastRow="0" w:firstColumn="0" w:lastColumn="0" w:noHBand="0" w:noVBand="0" w:val="0000"/>
        <w:jc w:val="start"/>
        <w:tblLayout w:type="fixed"/>
      </w:tblPr>
      <w:tblGrid>
        <w:gridCol w:w="7920"/>
      </w:tblGrid>
      <w:tr>
        <w:tc>
          <w:tcPr/>
          <w:bookmarkStart w:id="320" w:name="tbl-Zuordnung"/>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jc w:val="center"/>
                  </w:pPr>
                  <w:r>
                    <w:t xml:space="preserve">Eingang / Ausgang</w:t>
                  </w:r>
                </w:p>
              </w:tc>
              <w:tc>
                <w:tcPr/>
                <w:p>
                  <w:pPr>
                    <w:pStyle w:val="Compact"/>
                    <w:jc w:val="left"/>
                    <w:jc w:val="center"/>
                  </w:pPr>
                  <w:r>
                    <w:t xml:space="preserve">Bezeichnung</w:t>
                  </w:r>
                </w:p>
              </w:tc>
              <w:tc>
                <w:tcPr/>
                <w:p>
                  <w:pPr>
                    <w:pStyle w:val="Compact"/>
                    <w:jc w:val="left"/>
                    <w:jc w:val="center"/>
                  </w:pPr>
                  <w:r>
                    <w:t xml:space="preserve">Zuordnung</w:t>
                  </w:r>
                </w:p>
              </w:tc>
              <w:tc>
                <w:tcPr/>
                <w:p>
                  <w:pPr>
                    <w:pStyle w:val="Compact"/>
                    <w:jc w:val="left"/>
                    <w:jc w:val="center"/>
                  </w:pPr>
                  <w:r>
                    <w:t xml:space="preserve">Beschreibung</w:t>
                  </w:r>
                </w:p>
              </w:tc>
            </w:tr>
            <w:tr>
              <w:tc>
                <w:tcPr/>
                <w:p>
                  <w:pPr>
                    <w:pStyle w:val="Compact"/>
                    <w:jc w:val="left"/>
                    <w:jc w:val="center"/>
                  </w:pPr>
                  <w:r>
                    <w:t xml:space="preserve">Eingang</w:t>
                  </w:r>
                </w:p>
              </w:tc>
              <w:tc>
                <w:tcPr/>
                <w:p>
                  <w:pPr>
                    <w:pStyle w:val="Compact"/>
                    <w:jc w:val="left"/>
                    <w:jc w:val="center"/>
                  </w:pPr>
                  <w:r>
                    <w:t xml:space="preserve">E … Enable</w:t>
                  </w:r>
                </w:p>
              </w:tc>
              <w:tc>
                <w:tcPr/>
                <w:p>
                  <w:pPr>
                    <w:pStyle w:val="Compact"/>
                    <w:jc w:val="left"/>
                    <w:jc w:val="center"/>
                  </w:pPr>
                  <w:r>
                    <w:t xml:space="preserve">0 … Disabled; 1 … Enabled</w:t>
                  </w:r>
                </w:p>
              </w:tc>
              <w:tc>
                <w:tcPr/>
                <w:p>
                  <w:pPr>
                    <w:pStyle w:val="Compact"/>
                    <w:jc w:val="left"/>
                    <w:jc w:val="center"/>
                  </w:pPr>
                  <w:r>
                    <w:t xml:space="preserve">Damit wird die Schaltung betriebsbereit. Ist Enable deaktiviert, kann an den anderen Eingängen ein beliebiges Signal anliegen, der Motor darf sich trotzdem nicht bewegen.</w:t>
                  </w:r>
                </w:p>
              </w:tc>
            </w:tr>
            <w:tr>
              <w:tc>
                <w:tcPr/>
                <w:p>
                  <w:pPr>
                    <w:pStyle w:val="Compact"/>
                    <w:jc w:val="left"/>
                    <w:jc w:val="center"/>
                  </w:pPr>
                  <w:r>
                    <w:t xml:space="preserve">Eingang</w:t>
                  </w:r>
                </w:p>
              </w:tc>
              <w:tc>
                <w:tcPr/>
                <w:p>
                  <w:pPr>
                    <w:pStyle w:val="Compact"/>
                    <w:jc w:val="left"/>
                    <w:jc w:val="center"/>
                  </w:pPr>
                  <w:r>
                    <w:t xml:space="preserve">B … Break</w:t>
                  </w:r>
                </w:p>
              </w:tc>
              <w:tc>
                <w:tcPr/>
                <w:p>
                  <w:pPr>
                    <w:pStyle w:val="Compact"/>
                    <w:jc w:val="left"/>
                    <w:jc w:val="center"/>
                  </w:pPr>
                  <w:r>
                    <w:t xml:space="preserve">0 … Disabled; 1 … Enabled</w:t>
                  </w:r>
                </w:p>
              </w:tc>
              <w:tc>
                <w:tcPr/>
                <w:p>
                  <w:pPr>
                    <w:pStyle w:val="Compact"/>
                    <w:jc w:val="left"/>
                    <w:jc w:val="center"/>
                  </w:pPr>
                  <w:r>
                    <w:t xml:space="preserve">Aktivierung des Bremsbetriebs. Hat Vorrang über die Richtungswahl.</w:t>
                  </w:r>
                </w:p>
              </w:tc>
            </w:tr>
            <w:tr>
              <w:tc>
                <w:tcPr/>
                <w:p>
                  <w:pPr>
                    <w:pStyle w:val="Compact"/>
                    <w:jc w:val="left"/>
                    <w:jc w:val="center"/>
                  </w:pPr>
                  <w:r>
                    <w:t xml:space="preserve">Eingang</w:t>
                  </w:r>
                </w:p>
              </w:tc>
              <w:tc>
                <w:tcPr/>
                <w:p>
                  <w:pPr>
                    <w:pStyle w:val="Compact"/>
                    <w:jc w:val="left"/>
                    <w:jc w:val="center"/>
                  </w:pPr>
                  <w:r>
                    <w:t xml:space="preserve">D … Direction</w:t>
                  </w:r>
                </w:p>
              </w:tc>
              <w:tc>
                <w:tcPr/>
                <w:p>
                  <w:pPr>
                    <w:pStyle w:val="Compact"/>
                    <w:jc w:val="left"/>
                    <w:jc w:val="center"/>
                  </w:pPr>
                  <w:r>
                    <w:t xml:space="preserve">0 … Linkslauf; 1 … Rechtslauf</w:t>
                  </w:r>
                </w:p>
              </w:tc>
              <w:tc>
                <w:tcPr/>
                <w:p>
                  <w:pPr>
                    <w:pStyle w:val="Compact"/>
                    <w:jc w:val="left"/>
                    <w:jc w:val="center"/>
                  </w:pPr>
                  <w:r>
                    <w:t xml:space="preserve">Gibt die Drehrichtung vor.</w:t>
                  </w:r>
                </w:p>
              </w:tc>
            </w:tr>
            <w:tr>
              <w:tc>
                <w:tcPr/>
                <w:p>
                  <w:pPr>
                    <w:pStyle w:val="Compact"/>
                    <w:jc w:val="left"/>
                    <w:jc w:val="center"/>
                  </w:pPr>
                  <w:r>
                    <w:t xml:space="preserve">Eingang</w:t>
                  </w:r>
                </w:p>
              </w:tc>
              <w:tc>
                <w:tcPr/>
                <w:p>
                  <w:pPr>
                    <w:pStyle w:val="Compact"/>
                    <w:jc w:val="left"/>
                    <w:jc w:val="center"/>
                  </w:pPr>
                  <w:r>
                    <w:t xml:space="preserve">P … PWM</w:t>
                  </w:r>
                </w:p>
              </w:tc>
              <w:tc>
                <w:tcPr/>
                <w:p>
                  <w:pPr>
                    <w:pStyle w:val="Compact"/>
                    <w:jc w:val="left"/>
                    <w:jc w:val="center"/>
                  </w:pPr>
                  <w:r>
                    <w:t xml:space="preserve">PWM Signal</w:t>
                  </w:r>
                </w:p>
              </w:tc>
              <w:tc>
                <w:tcPr/>
                <w:p>
                  <w:pPr>
                    <w:pStyle w:val="Compact"/>
                    <w:jc w:val="left"/>
                    <w:jc w:val="center"/>
                  </w:pPr>
                  <w:r>
                    <w:t xml:space="preserve">Gibt die Drehzahl vor.</w:t>
                  </w:r>
                </w:p>
              </w:tc>
            </w:tr>
            <w:tr>
              <w:tc>
                <w:tcPr/>
                <w:p>
                  <w:pPr>
                    <w:pStyle w:val="Compact"/>
                    <w:jc w:val="left"/>
                    <w:jc w:val="center"/>
                  </w:pPr>
                  <w:r>
                    <w:t xml:space="preserve">Ausgänge</w:t>
                  </w:r>
                </w:p>
              </w:tc>
              <w:tc>
                <w:tcPr/>
                <w:p>
                  <w:pPr>
                    <w:pStyle w:val="Compact"/>
                    <w:jc w:val="left"/>
                    <w:jc w:val="center"/>
                  </w:pPr>
                  <w:r>
                    <w:t xml:space="preserve">S1, S2, S3, S4</w:t>
                  </w:r>
                </w:p>
              </w:tc>
              <w:tc>
                <w:tcPr/>
                <w:p>
                  <w:pPr>
                    <w:pStyle w:val="Compact"/>
                    <w:jc w:val="left"/>
                    <w:jc w:val="center"/>
                  </w:pPr>
                  <w:r>
                    <w:t xml:space="preserve">0 … MOSFET aus; 1 … MOSFET ein</w:t>
                  </w:r>
                </w:p>
              </w:tc>
              <w:tc>
                <w:tcPr/>
                <w:p>
                  <w:pPr>
                    <w:pStyle w:val="Compact"/>
                    <w:jc w:val="left"/>
                    <w:jc w:val="center"/>
                  </w:pPr>
                  <w:r>
                    <w:t xml:space="preserve">Steuersignal für die Transistoren. Diese entsprechen noch nicht dem benötigten Potentialen!</w:t>
                  </w:r>
                </w:p>
              </w:tc>
            </w:tr>
          </w:tbl>
          <w:p>
            <w:pPr>
              <w:jc w:val="center"/>
            </w:pPr>
            <w:pPr>
              <w:jc w:val="start"/>
              <w:spacing w:before="200"/>
              <w:pStyle w:val="ImageCaption"/>
            </w:pPr>
            <w:r>
              <w:t xml:space="preserve">Tabelle 5.1: Zuordnungstabelle</w:t>
            </w:r>
          </w:p>
          <w:bookmarkEnd w:id="320"/>
        </w:tc>
      </w:tr>
    </w:tbl>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1" name="Picture"/>
                  <a:graphic>
                    <a:graphicData uri="http://schemas.openxmlformats.org/drawingml/2006/picture">
                      <pic:pic>
                        <pic:nvPicPr>
                          <pic:cNvPr descr="C:\Users\leo\AppData\Local\Programs\Quarto\share\formats\docx\note.png" id="3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werden aus den Gleichungen die Wahrheitstabellen erstellt und mit den oben definierten Wahrheitstabellen verglichen.</w:t>
      </w:r>
    </w:p>
    <w:tbl>
      <w:tblPr>
        <w:tblStyle w:val="Table"/>
        <w:tblW w:type="pct" w:w="5000"/>
        <w:tblLook w:firstRow="0" w:lastRow="0" w:firstColumn="0" w:lastColumn="0" w:noHBand="0" w:noVBand="0" w:val="0000"/>
        <w:jc w:val="start"/>
        <w:tblLayout w:type="fixed"/>
      </w:tblPr>
      <w:tblGrid>
        <w:gridCol w:w="7920"/>
      </w:tblGrid>
      <w:tr>
        <w:tc>
          <w:tcPr/>
          <w:bookmarkStart w:id="323" w:name="tbl-wahrheitstabellekonts1s3"/>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S1</w:t>
                  </w:r>
                </w:p>
              </w:tc>
              <w:tc>
                <w:tcPr/>
                <w:p>
                  <w:pPr>
                    <w:pStyle w:val="Compact"/>
                    <w:jc w:val="left"/>
                    <w:jc w:val="center"/>
                  </w:pPr>
                  <w:r>
                    <w:t xml:space="preserve">S3</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bl>
          <w:p>
            <w:pPr>
              <w:jc w:val="center"/>
            </w:pPr>
            <w:pPr>
              <w:jc w:val="start"/>
              <w:spacing w:before="200"/>
              <w:pStyle w:val="ImageCaption"/>
            </w:pPr>
            <w:r>
              <w:t xml:space="preserve">Tabelle 5.2: Wahrheitstabelle Kontrolle T1 und T3</w:t>
            </w:r>
          </w:p>
          <w:bookmarkEnd w:id="32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24" w:name="tbl-wahrheitstabellekonts2s4"/>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P</w:t>
                  </w:r>
                </w:p>
              </w:tc>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S2</w:t>
                  </w:r>
                </w:p>
              </w:tc>
              <w:tc>
                <w:tcPr/>
                <w:p>
                  <w:pPr>
                    <w:pStyle w:val="Compact"/>
                    <w:jc w:val="left"/>
                    <w:jc w:val="center"/>
                  </w:pPr>
                  <w:r>
                    <w:t xml:space="preserve">S4</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bl>
          <w:p>
            <w:pPr>
              <w:jc w:val="center"/>
            </w:pPr>
            <w:pPr>
              <w:jc w:val="start"/>
              <w:spacing w:before="200"/>
              <w:pStyle w:val="ImageCaption"/>
            </w:pPr>
            <w:r>
              <w:t xml:space="preserve">Tabelle 5.3: Wahrheitstabelle Kontrolle T2 und T4</w:t>
            </w:r>
          </w:p>
          <w:bookmarkEnd w:id="324"/>
        </w:tc>
      </w:tr>
    </w:tbl>
    <w:p>
      <w:pPr>
        <w:pStyle w:val="BodyText"/>
      </w:pPr>
      <w:r>
        <w:t xml:space="preserve">Die Tabellen stimmen überein. Die Gleichungen sind somit richtig.</w:t>
      </w:r>
    </w:p>
    <w:bookmarkEnd w:id="325"/>
    <w:bookmarkStart w:id="332"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6" name="Picture"/>
                  <a:graphic>
                    <a:graphicData uri="http://schemas.openxmlformats.org/drawingml/2006/picture">
                      <pic:pic>
                        <pic:nvPicPr>
                          <pic:cNvPr descr="C:\Users\leo\AppData\Local\Programs\Quarto\share\formats\docx\note.png" id="32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Layout w:type="fixed"/>
      </w:tblPr>
      <w:tblGrid>
        <w:gridCol w:w="7920"/>
      </w:tblGrid>
      <w:tr>
        <w:tc>
          <w:tcPr/>
          <w:bookmarkStart w:id="331" w:name="fig-LogikSchaltung"/>
          <w:p>
            <w:pPr>
              <w:pStyle w:val="Compact"/>
              <w:jc w:val="center"/>
            </w:pPr>
            <w:r>
              <w:drawing>
                <wp:inline>
                  <wp:extent cx="5332395" cy="7372951"/>
                  <wp:effectExtent b="0" l="0" r="0" t="0"/>
                  <wp:docPr descr="" title="" id="329" name="Picture"/>
                  <a:graphic>
                    <a:graphicData uri="http://schemas.openxmlformats.org/drawingml/2006/picture">
                      <pic:pic>
                        <pic:nvPicPr>
                          <pic:cNvPr descr="Projekte/Grafiken/Hbruecke/LogicCirciut.png" id="330" name="Picture"/>
                          <pic:cNvPicPr>
                            <a:picLocks noChangeArrowheads="1" noChangeAspect="1"/>
                          </pic:cNvPicPr>
                        </pic:nvPicPr>
                        <pic:blipFill>
                          <a:blip r:embed="rId328"/>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31"/>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32"/>
    <w:bookmarkEnd w:id="333"/>
    <w:bookmarkStart w:id="340"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38"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Layout w:type="fixed"/>
      </w:tblPr>
      <w:tblGrid>
        <w:gridCol w:w="7920"/>
      </w:tblGrid>
      <w:tr>
        <w:tc>
          <w:tcPr/>
          <w:bookmarkStart w:id="337" w:name="fig-OPV-Schaltung"/>
          <w:p>
            <w:pPr>
              <w:pStyle w:val="Compact"/>
              <w:jc w:val="center"/>
            </w:pPr>
            <w:r>
              <w:drawing>
                <wp:inline>
                  <wp:extent cx="5334000" cy="1670614"/>
                  <wp:effectExtent b="0" l="0" r="0" t="0"/>
                  <wp:docPr descr="" title="" id="335" name="Picture"/>
                  <a:graphic>
                    <a:graphicData uri="http://schemas.openxmlformats.org/drawingml/2006/picture">
                      <pic:pic>
                        <pic:nvPicPr>
                          <pic:cNvPr descr="Projekte/Grafiken/Hbruecke/OPV-Schaltung.png" id="336" name="Picture"/>
                          <pic:cNvPicPr>
                            <a:picLocks noChangeArrowheads="1" noChangeAspect="1"/>
                          </pic:cNvPicPr>
                        </pic:nvPicPr>
                        <pic:blipFill>
                          <a:blip r:embed="rId334"/>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37"/>
        </w:tc>
      </w:tr>
    </w:tbl>
    <w:bookmarkEnd w:id="338"/>
    <w:bookmarkStart w:id="339" w:name="umsetzung-in-der-praxis"/>
    <w:p>
      <w:pPr>
        <w:pStyle w:val="Heading3"/>
      </w:pPr>
      <w:r>
        <w:t xml:space="preserve">5.3.2 Umsetzung in der Praxis</w:t>
      </w:r>
    </w:p>
    <w:p>
      <w:pPr>
        <w:pStyle w:val="FirstParagraph"/>
      </w:pPr>
      <w:r>
        <w:t xml:space="preserve">Wird eine H-Brücke in der Praxis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Anwendungsbeispiele und</w:t>
      </w:r>
      <w:r>
        <w:t xml:space="preserve"> </w:t>
      </w:r>
      <w:r>
        <w:rPr>
          <w:iCs/>
          <w:i/>
        </w:rPr>
        <w:t xml:space="preserve">Application Notes</w:t>
      </w:r>
      <w:r>
        <w:t xml:space="preserve"> </w:t>
      </w:r>
      <w:r>
        <w:t xml:space="preserve">zu finden. Diese sind eine gute Quelle für die Entwicklung der Schaltungen.</w:t>
      </w:r>
    </w:p>
    <w:bookmarkEnd w:id="339"/>
    <w:bookmarkEnd w:id="340"/>
    <w:bookmarkStart w:id="353" w:name="simulation-der-h-brücke"/>
    <w:p>
      <w:pPr>
        <w:pStyle w:val="Heading2"/>
      </w:pPr>
      <w:r>
        <w:t xml:space="preserve">5.4 Simulation der H-Brücke</w:t>
      </w:r>
    </w:p>
    <w:p>
      <w:pPr>
        <w:pStyle w:val="FirstParagraph"/>
      </w:pPr>
      <w:r>
        <w:t xml:space="preserve">Will man nun die Funktion der H-Brücke simulieren, muss die Logikschaltung mit der Pegelanpassung, die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hyperlink w:anchor="fig-ExtendedMotorModel">
        <w:r>
          <w:rPr>
            <w:rStyle w:val="Hyperlink"/>
          </w:rPr>
          <w:t xml:space="preserve">Abbildung 5.10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Layout w:type="fixed"/>
      </w:tblPr>
      <w:tblGrid>
        <w:gridCol w:w="7920"/>
      </w:tblGrid>
      <w:tr>
        <w:tc>
          <w:tcPr/>
          <w:bookmarkStart w:id="344" w:name="fig-TopSheet"/>
          <w:p>
            <w:pPr>
              <w:pStyle w:val="Compact"/>
              <w:jc w:val="center"/>
            </w:pPr>
            <w:r>
              <w:drawing>
                <wp:inline>
                  <wp:extent cx="5334000" cy="1685904"/>
                  <wp:effectExtent b="0" l="0" r="0" t="0"/>
                  <wp:docPr descr="" title="" id="342" name="Picture"/>
                  <a:graphic>
                    <a:graphicData uri="http://schemas.openxmlformats.org/drawingml/2006/picture">
                      <pic:pic>
                        <pic:nvPicPr>
                          <pic:cNvPr descr="Projekte/Grafiken/Hbruecke/TopSheet.png" id="343" name="Picture"/>
                          <pic:cNvPicPr>
                            <a:picLocks noChangeArrowheads="1" noChangeAspect="1"/>
                          </pic:cNvPicPr>
                        </pic:nvPicPr>
                        <pic:blipFill>
                          <a:blip r:embed="rId341"/>
                          <a:stretch>
                            <a:fillRect/>
                          </a:stretch>
                        </pic:blipFill>
                        <pic:spPr bwMode="auto">
                          <a:xfrm>
                            <a:off x="0" y="0"/>
                            <a:ext cx="5334000" cy="168590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44"/>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48" w:name="fig-SimpleMotorModel"/>
          <w:p>
            <w:pPr>
              <w:pStyle w:val="Compact"/>
              <w:jc w:val="center"/>
            </w:pPr>
            <w:r>
              <w:drawing>
                <wp:inline>
                  <wp:extent cx="1157387" cy="2097365"/>
                  <wp:effectExtent b="0" l="0" r="0" t="0"/>
                  <wp:docPr descr="" title="" id="346" name="Picture"/>
                  <a:graphic>
                    <a:graphicData uri="http://schemas.openxmlformats.org/drawingml/2006/picture">
                      <pic:pic>
                        <pic:nvPicPr>
                          <pic:cNvPr descr="Projekte/Grafiken/Hbruecke/SimpleMotorModel.png" id="347" name="Picture"/>
                          <pic:cNvPicPr>
                            <a:picLocks noChangeArrowheads="1" noChangeAspect="1"/>
                          </pic:cNvPicPr>
                        </pic:nvPicPr>
                        <pic:blipFill>
                          <a:blip r:embed="rId345"/>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w:t>
            </w:r>
          </w:p>
          <w:bookmarkEnd w:id="348"/>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2" w:name="fig-ExtendedMotorModel"/>
          <w:p>
            <w:pPr>
              <w:pStyle w:val="Compact"/>
              <w:jc w:val="center"/>
            </w:pPr>
            <w:r>
              <w:drawing>
                <wp:inline>
                  <wp:extent cx="4267200" cy="4003721"/>
                  <wp:effectExtent b="0" l="0" r="0" t="0"/>
                  <wp:docPr descr="" title="" id="350" name="Picture"/>
                  <a:graphic>
                    <a:graphicData uri="http://schemas.openxmlformats.org/drawingml/2006/picture">
                      <pic:pic>
                        <pic:nvPicPr>
                          <pic:cNvPr descr="Projekte/Grafiken/Hbruecke/AdvancedMotorModel.png" id="351" name="Picture"/>
                          <pic:cNvPicPr>
                            <a:picLocks noChangeArrowheads="1" noChangeAspect="1"/>
                          </pic:cNvPicPr>
                        </pic:nvPicPr>
                        <pic:blipFill>
                          <a:blip r:embed="rId349"/>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w:t>
            </w:r>
            <w:r>
              <w:t xml:space="preserve"> </w:t>
            </w:r>
            <w:r>
              <w:t xml:space="preserve">[9]</w:t>
            </w:r>
          </w:p>
          <w:bookmarkEnd w:id="352"/>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Direction ändern. Die Bremsfunktion lässt sich mittels Break aktivieren.</w:t>
      </w:r>
    </w:p>
    <w:bookmarkEnd w:id="353"/>
    <w:bookmarkStart w:id="354" w:name="pwm-und-induktive-lasten"/>
    <w:p>
      <w:pPr>
        <w:pStyle w:val="Heading2"/>
      </w:pPr>
      <w:r>
        <w:t xml:space="preserve">5.5 PWM und induktive Lasten</w:t>
      </w:r>
    </w:p>
    <w:p>
      <w:pPr>
        <w:pStyle w:val="FirstParagraph"/>
      </w:pPr>
      <w:r>
        <w:rPr>
          <w:bCs/>
          <w:b/>
        </w:rPr>
        <w:t xml:space="preserve">To Be Continued</w:t>
      </w:r>
    </w:p>
    <w:bookmarkEnd w:id="354"/>
    <w:bookmarkEnd w:id="355"/>
    <w:bookmarkStart w:id="448" w:name="sec-Oszillator"/>
    <w:p>
      <w:pPr>
        <w:pStyle w:val="Heading1"/>
      </w:pPr>
      <w:r>
        <w:t xml:space="preserve">6. Oszillator</w:t>
      </w:r>
    </w:p>
    <w:p>
      <w:pPr>
        <w:pStyle w:val="FirstParagraph"/>
      </w:pPr>
      <w:r>
        <w:t xml:space="preserve">Oszillatoren werden für folgende Anwendungen benötigt:</w:t>
      </w:r>
    </w:p>
    <w:p>
      <w:pPr>
        <w:numPr>
          <w:ilvl w:val="0"/>
          <w:numId w:val="1009"/>
        </w:numPr>
        <w:pStyle w:val="Compact"/>
      </w:pPr>
      <w:r>
        <w:t xml:space="preserve">Taktgeber für digitale Schaltungen</w:t>
      </w:r>
      <w:r>
        <w:br/>
      </w:r>
    </w:p>
    <w:p>
      <w:pPr>
        <w:numPr>
          <w:ilvl w:val="0"/>
          <w:numId w:val="1009"/>
        </w:numPr>
        <w:pStyle w:val="Compact"/>
      </w:pPr>
      <w:r>
        <w:t xml:space="preserve">Erzeugung von Trägersignalen für Drahtlose Kommunikation</w:t>
      </w:r>
      <w:r>
        <w:br/>
      </w:r>
    </w:p>
    <w:p>
      <w:pPr>
        <w:numPr>
          <w:ilvl w:val="0"/>
          <w:numId w:val="1009"/>
        </w:numPr>
        <w:pStyle w:val="Compact"/>
      </w:pPr>
      <w:r>
        <w:t xml:space="preserve">Frequenzgeneratoren</w:t>
      </w:r>
      <w:r>
        <w:br/>
      </w:r>
    </w:p>
    <w:p>
      <w:pPr>
        <w:numPr>
          <w:ilvl w:val="0"/>
          <w:numId w:val="1009"/>
        </w:numPr>
        <w:pStyle w:val="Compact"/>
      </w:pPr>
      <w:r>
        <w:t xml:space="preserve">Taktsignale für die Zeitmessung</w:t>
      </w:r>
      <w:r>
        <w:br/>
      </w:r>
    </w:p>
    <w:p>
      <w:pPr>
        <w:numPr>
          <w:ilvl w:val="0"/>
          <w:numId w:val="1009"/>
        </w:numPr>
        <w:pStyle w:val="Compact"/>
      </w:pPr>
      <w:r>
        <w:t xml:space="preserve">Erzeugung von Sinuswellen für die Audiotechnik</w:t>
      </w:r>
    </w:p>
    <w:p>
      <w:pPr>
        <w:pStyle w:val="FirstParagraph"/>
      </w:pPr>
      <w:r>
        <w:t xml:space="preserve">Und viele weitere Anwendungen. Oszillatorschaltungen sind damit grundlegende Schaltungen der Elektronik.</w:t>
      </w:r>
    </w:p>
    <w:bookmarkStart w:id="365" w:name="grundlagen"/>
    <w:p>
      <w:pPr>
        <w:pStyle w:val="Heading2"/>
      </w:pPr>
      <w:r>
        <w:t xml:space="preserve">6.1 Grundlagen</w:t>
      </w:r>
    </w:p>
    <w:p>
      <w:pPr>
        <w:pStyle w:val="FirstParagraph"/>
      </w:pPr>
      <w:r>
        <w:rPr>
          <w:bCs/>
          <w:b/>
        </w:rPr>
        <w:t xml:space="preserve">Schwingkreis</w:t>
      </w:r>
      <w:r>
        <w:t xml:space="preserve"> </w:t>
      </w:r>
      <w:r>
        <w:t xml:space="preserve">Ein Schwingkreis ist ein physikalisches System, das eine periodische Schwingung erzeugt. Ein Schwingkreis benötigt mindestens zwei Energiespeicher, um schwingfähig zu sein. Die Energiespeicher können Kondensatoren oder Spulen sein aber auch ein mechanisches System wie ein Pendel bestehend aus einer Feder und einem Gewicht.</w:t>
      </w:r>
    </w:p>
    <w:p>
      <w:pPr>
        <w:pStyle w:val="BodyText"/>
      </w:pPr>
      <w:r>
        <w:rPr>
          <w:bCs/>
          <w:b/>
        </w:rPr>
        <w:t xml:space="preserve">Oszillator</w:t>
      </w:r>
      <w:r>
        <w:t xml:space="preserve"> </w:t>
      </w:r>
      <w:r>
        <w:t xml:space="preserve">Ein Oszillator ist eine elektronische Schaltung, die aus einem Schwingkreis und einer Verstärkerschaltung besteht und den Zweck hat eine periodische Spannung zu erzeugen.</w:t>
      </w:r>
    </w:p>
    <w:bookmarkStart w:id="357" w:name="oszillatorschaltungen"/>
    <w:p>
      <w:pPr>
        <w:pStyle w:val="Heading3"/>
      </w:pPr>
      <w:r>
        <w:t xml:space="preserve">6.1.1 Oszillatorschaltungen</w:t>
      </w:r>
    </w:p>
    <w:p>
      <w:pPr>
        <w:pStyle w:val="FirstParagraph"/>
      </w:pPr>
      <w:r>
        <w:t xml:space="preserve">Ein System ist schwingfähig, wenn es mindestens zwei Energiespeicher enthält. Zum Beispiel zwei Kondensatoren oder einen Kondensator und eine Spule.</w:t>
      </w:r>
    </w:p>
    <w:p>
      <w:pPr>
        <w:pStyle w:val="BodyText"/>
      </w:pPr>
      <w:r>
        <w:t xml:space="preserve">Es gibt verschiedene Arten von Oszillatorschaltungen, die auf unterschiedlichen Prinzipien basieren. Die häufigsten Typen sind:</w:t>
      </w:r>
      <w:r>
        <w:br/>
      </w:r>
      <w:r>
        <w:t xml:space="preserve">* LC-Oszillatoren</w:t>
      </w:r>
      <w:r>
        <w:br/>
      </w:r>
      <w:r>
        <w:t xml:space="preserve">* RC-Oszillatoren</w:t>
      </w:r>
      <w:r>
        <w:br/>
      </w:r>
      <w:r>
        <w:t xml:space="preserve">* Kristalloszillatoren</w:t>
      </w:r>
      <w:r>
        <w:br/>
      </w:r>
      <w:r>
        <w:t xml:space="preserve">* Relaxationsoszillatoren</w:t>
      </w:r>
      <w:r>
        <w:br/>
      </w:r>
      <w:r>
        <w:t xml:space="preserve">* MEMS-Oszillatoren</w:t>
      </w:r>
      <w:r>
        <w:br/>
      </w:r>
      <w:r>
        <w:t xml:space="preserve">* Phasenverschobene Oszillatoren</w:t>
      </w:r>
    </w:p>
    <w:p>
      <w:pPr>
        <w:pStyle w:val="BodyText"/>
      </w:pPr>
      <w:r>
        <w:t xml:space="preserve">Jeder dieser Oszillatoren hat seine eigenen Vor- und Nachteile und wird für spezifische Anwendungen eingesetzt. In diesem Kapitel werden wir uns auf die RC-Oszillatoren konzentrieren, die auf einem Schwingkreis basieren, der aus Widerständen und Kondensatoren besteht.</w:t>
      </w:r>
      <w:r>
        <w:br/>
      </w:r>
      <w:r>
        <w:t xml:space="preserve">Es soll ein Wien-Robinson-Oszillator erarbeitet werden.</w:t>
      </w:r>
    </w:p>
    <w:p>
      <w:pPr>
        <w:pStyle w:val="BodyText"/>
      </w:pPr>
      <w:r>
        <w:t xml:space="preserve">Weitere Links zum Thema</w:t>
      </w:r>
      <w:r>
        <w:t xml:space="preserve"> </w:t>
      </w:r>
      <w:hyperlink r:id="rId356">
        <w:r>
          <w:rPr>
            <w:rStyle w:val="Hyperlink"/>
          </w:rPr>
          <w:t xml:space="preserve">Altium Designer - Oscillators</w:t>
        </w:r>
      </w:hyperlink>
    </w:p>
    <w:bookmarkEnd w:id="357"/>
    <w:bookmarkStart w:id="364" w:name="blockschaltbild-eines-oszillators"/>
    <w:p>
      <w:pPr>
        <w:pStyle w:val="Heading3"/>
      </w:pPr>
      <w:r>
        <w:t xml:space="preserve">6.1.2 Blockschaltbild eines Oszillators</w:t>
      </w:r>
    </w:p>
    <w:p>
      <w:pPr>
        <w:pStyle w:val="FirstParagraph"/>
      </w:pPr>
      <w:r>
        <w:t xml:space="preserve">Als Blockschaltbild lässt sich ein Oszillator aus zwei Teilen darstellen. Einem Frequenzbestimmendem System, dem Schwingkreis, und einem Verstärker.</w:t>
      </w:r>
    </w:p>
    <w:tbl>
      <w:tblPr>
        <w:tblStyle w:val="Table"/>
        <w:tblW w:type="pct" w:w="5000"/>
        <w:tblLook w:firstRow="0" w:lastRow="0" w:firstColumn="0" w:lastColumn="0" w:noHBand="0" w:noVBand="0" w:val="0000"/>
        <w:jc w:val="start"/>
        <w:tblLayout w:type="fixed"/>
      </w:tblPr>
      <w:tblGrid>
        <w:gridCol w:w="7920"/>
      </w:tblGrid>
      <w:tr>
        <w:tc>
          <w:tcPr/>
          <w:bookmarkStart w:id="361" w:name="fig-OscBlockschaltbildOszillator"/>
          <w:p>
            <w:pPr>
              <w:pStyle w:val="Compact"/>
              <w:jc w:val="center"/>
            </w:pPr>
            <w:r>
              <w:drawing>
                <wp:inline>
                  <wp:extent cx="5334000" cy="1796254"/>
                  <wp:effectExtent b="0" l="0" r="0" t="0"/>
                  <wp:docPr descr="" title="" id="359" name="Picture"/>
                  <a:graphic>
                    <a:graphicData uri="http://schemas.openxmlformats.org/drawingml/2006/picture">
                      <pic:pic>
                        <pic:nvPicPr>
                          <pic:cNvPr descr="Projekte/Oszillator/OszillatorBlockschaltbild.png" id="360" name="Picture"/>
                          <pic:cNvPicPr>
                            <a:picLocks noChangeArrowheads="1" noChangeAspect="1"/>
                          </pic:cNvPicPr>
                        </pic:nvPicPr>
                        <pic:blipFill>
                          <a:blip r:embed="rId358"/>
                          <a:stretch>
                            <a:fillRect/>
                          </a:stretch>
                        </pic:blipFill>
                        <pic:spPr bwMode="auto">
                          <a:xfrm>
                            <a:off x="0" y="0"/>
                            <a:ext cx="5334000" cy="17962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Blockschaltbild eines Oszillator</w:t>
            </w:r>
          </w:p>
          <w:bookmarkEnd w:id="361"/>
        </w:tc>
      </w:tr>
    </w:tbl>
    <w:p>
      <w:pPr>
        <w:pStyle w:val="BodyText"/>
      </w:pPr>
      <w:r>
        <w:t xml:space="preserve">Jeder der in</w:t>
      </w:r>
      <w:r>
        <w:t xml:space="preserve"> </w:t>
      </w:r>
      <w:hyperlink w:anchor="fig-OscBlockschaltbildOszillator">
        <w:r>
          <w:rPr>
            <w:rStyle w:val="Hyperlink"/>
          </w:rPr>
          <w:t xml:space="preserve">Abbildung 6.1</w:t>
        </w:r>
      </w:hyperlink>
      <w:r>
        <w:t xml:space="preserve"> </w:t>
      </w:r>
      <w:r>
        <w:t xml:space="preserve">gezeigten Blöcke lässt sich mathematisch beschreiben. Auch das gesamte System lässt sich mathematisch beschreiben.</w:t>
      </w:r>
      <w:r>
        <w:br/>
      </w:r>
      <w:r>
        <w:t xml:space="preserve">Mathematisch kann ein Schwingkreis durch eine Differentialgleichung beschrieben werden. Besser eignet sich die Beschreibung durch eine Übertragungsfunktion im Frequenzbereich, die die Beziehung zwischen Eingang und Ausgang des Schwingkreises beschreibt. Die Theorie der Übertragungsfunktionen wird unter anderem in der Regelungstechnik verwendet. Es unterscheidet sich lediglich die</w:t>
      </w:r>
      <w:r>
        <w:t xml:space="preserve"> </w:t>
      </w:r>
      <w:hyperlink r:id="rId362">
        <w:r>
          <w:rPr>
            <w:rStyle w:val="Hyperlink"/>
          </w:rPr>
          <w:t xml:space="preserve">Nomenklatur</w:t>
        </w:r>
      </w:hyperlink>
      <w:r>
        <w:t xml:space="preserve"> </w:t>
      </w:r>
      <w:r>
        <w:t xml:space="preserve">und die Anwendung, die Mathematik ist die gleiche. Weiters ist die Zweitortheorie sehr eng mit der Theorie der Übertragungsfunktionen verwandt. Wer hier die genauen Zusammenhänge verstehen möchte muss sich mit der</w:t>
      </w:r>
      <w:r>
        <w:t xml:space="preserve"> </w:t>
      </w:r>
      <w:hyperlink r:id="rId363">
        <w:r>
          <w:rPr>
            <w:rStyle w:val="Hyperlink"/>
          </w:rPr>
          <w:t xml:space="preserve">Laplace-Transformation</w:t>
        </w:r>
      </w:hyperlink>
      <w:r>
        <w:t xml:space="preserve"> </w:t>
      </w:r>
      <w:r>
        <w:t xml:space="preserve">auseinandersetzen.</w:t>
      </w:r>
      <w:r>
        <w:br/>
      </w:r>
      <w:r>
        <w:t xml:space="preserve">Grafisch lässt sich die Übertragungsfunktion mit dem Bode-Diagramm gut Darstellen.</w:t>
      </w:r>
    </w:p>
    <w:p>
      <w:pPr>
        <w:pStyle w:val="BodyText"/>
      </w:pPr>
      <w:r>
        <w:t xml:space="preserve">Hier wird die Übertragungsfunktion dazu benutzt die korrekten Bauteilwerte für einen Wien-Robinson-Oszillator zu berechnen.</w:t>
      </w:r>
    </w:p>
    <w:bookmarkEnd w:id="364"/>
    <w:bookmarkEnd w:id="365"/>
    <w:bookmarkStart w:id="441" w:name="Xeaa84c764fd5cf254c148f9337e3c115489b3f4"/>
    <w:p>
      <w:pPr>
        <w:pStyle w:val="Heading2"/>
      </w:pPr>
      <w:r>
        <w:t xml:space="preserve">6.2 Dimensionierung eines Wien-Robinson-Oszillator</w:t>
      </w:r>
    </w:p>
    <w:p>
      <w:pPr>
        <w:pStyle w:val="FirstParagraph"/>
      </w:pPr>
      <w:r>
        <w:t xml:space="preserve">Für dieses Beispiel wird der Wien-Robinson-Oszillator ausgewählt. Die Schaltung ist in</w:t>
      </w:r>
      <w:r>
        <w:t xml:space="preserve"> </w:t>
      </w:r>
      <w:r>
        <w:t xml:space="preserve">[2, chap. 13.2]</w:t>
      </w:r>
      <w:r>
        <w:t xml:space="preserve"> </w:t>
      </w:r>
      <w:r>
        <w:t xml:space="preserve">zu finden. Schematisch ist die Schaltung als Blockschaltbild in</w:t>
      </w:r>
      <w:r>
        <w:t xml:space="preserve"> </w:t>
      </w:r>
      <w:hyperlink w:anchor="fig-OscBlockschaltbildOszillator">
        <w:r>
          <w:rPr>
            <w:rStyle w:val="Hyperlink"/>
          </w:rPr>
          <w:t xml:space="preserve">Abbildung 6.1</w:t>
        </w:r>
      </w:hyperlink>
      <w:r>
        <w:t xml:space="preserve"> </w:t>
      </w:r>
      <w:r>
        <w:t xml:space="preserve">dargestellt. Die zwei Blöcke können getrennt betrachtet werden. Der Schwingkreis und der Verstärker.</w:t>
      </w:r>
    </w:p>
    <w:bookmarkStart w:id="384" w:name="sec-OscSchwingkreis"/>
    <w:p>
      <w:pPr>
        <w:pStyle w:val="Heading3"/>
      </w:pPr>
      <w:r>
        <w:t xml:space="preserve">6.2.1 Übertragungsfunktion des Schwingkreises</w:t>
      </w:r>
      <w:r>
        <w:t xml:space="preserve"> </w:t>
      </w:r>
      <m:oMath>
        <m:sSub>
          <m:e>
            <m:r>
              <m:t>H</m:t>
            </m:r>
          </m:e>
          <m:sub>
            <m:r>
              <m:t>1</m:t>
            </m:r>
          </m:sub>
        </m:sSub>
        <m:d>
          <m:dPr>
            <m:begChr m:val="("/>
            <m:endChr m:val=")"/>
            <m:sepChr m:val=""/>
            <m:grow/>
          </m:dPr>
          <m:e>
            <m:r>
              <m:t>ω</m:t>
            </m:r>
          </m:e>
        </m:d>
      </m:oMath>
    </w:p>
    <w:p>
      <w:pPr>
        <w:pStyle w:val="FirstParagraph"/>
      </w:pPr>
      <w:r>
        <w:t xml:space="preserve">Übertragungsfunktionen werden im Frequenzbereich betrachtet. das bedeutet, dass unsere Gleichungen nicht von der Zeit abhängen sondern von der Frequenz.</w:t>
      </w:r>
      <w:r>
        <w:t xml:space="preserve"> </w:t>
      </w:r>
      <w:r>
        <w:t xml:space="preserve"> </w:t>
      </w:r>
      <w:r>
        <w:t xml:space="preserve">Beim Wien-Robinson-Oszillator wird eine Schaltung aus zwei Widerständen und einem Kondensator verwendet,</w:t>
      </w:r>
      <w:r>
        <w:t xml:space="preserve"> </w:t>
      </w:r>
      <w:hyperlink w:anchor="fig-RCSchwingkreis">
        <w:r>
          <w:rPr>
            <w:rStyle w:val="Hyperlink"/>
          </w:rPr>
          <w:t xml:space="preserve">Abbildung 6.2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69" w:name="fig-RCSchwingkreis"/>
          <w:p>
            <w:pPr>
              <w:pStyle w:val="Compact"/>
              <w:jc w:val="center"/>
            </w:pPr>
            <w:r>
              <w:drawing>
                <wp:inline>
                  <wp:extent cx="3599999" cy="4534999"/>
                  <wp:effectExtent b="0" l="0" r="0" t="0"/>
                  <wp:docPr descr="" title="" id="367" name="Picture"/>
                  <a:graphic>
                    <a:graphicData uri="http://schemas.openxmlformats.org/drawingml/2006/picture">
                      <pic:pic>
                        <pic:nvPicPr>
                          <pic:cNvPr descr="Projekte/Oszillator/RCSchwingkreis.png" id="368" name="Picture"/>
                          <pic:cNvPicPr>
                            <a:picLocks noChangeArrowheads="1" noChangeAspect="1"/>
                          </pic:cNvPicPr>
                        </pic:nvPicPr>
                        <pic:blipFill>
                          <a:blip r:embed="rId366"/>
                          <a:stretch>
                            <a:fillRect/>
                          </a:stretch>
                        </pic:blipFill>
                        <pic:spPr bwMode="auto">
                          <a:xfrm>
                            <a:off x="0" y="0"/>
                            <a:ext cx="3599999" cy="453499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RC Schwingkreis</w:t>
            </w:r>
          </w:p>
          <w:bookmarkEnd w:id="369"/>
        </w:tc>
      </w:tr>
    </w:tbl>
    <w:p>
      <w:pPr>
        <w:pStyle w:val="BodyText"/>
      </w:pPr>
      <w:r>
        <w:t xml:space="preserve">Die Übertragungsfunktion lässt sich nun auf zwei Arten darstellen. Entweder mathematisch mittels der Komplexen Wechselstromrechnung oder mittels Simulation.</w:t>
      </w:r>
    </w:p>
    <w:bookmarkStart w:id="376" w:name="sec-OscMathBerechnung"/>
    <w:p>
      <w:pPr>
        <w:pStyle w:val="Heading4"/>
      </w:pPr>
      <w:r>
        <w:t xml:space="preserve">6.2.1.1 Mathematische Berechnung</w:t>
      </w:r>
    </w:p>
    <w:p>
      <w:pPr>
        <w:pStyle w:val="FirstParagraph"/>
      </w:pPr>
      <w:r>
        <w:t xml:space="preserve">Die Übertragungsfunktion lässt sich mittels Spannungsteileregel anschreiben.</w:t>
      </w:r>
    </w:p>
    <w:p>
      <w:pPr>
        <w:pStyle w:val="BodyText"/>
      </w:pPr>
      <w:bookmarkStart w:id="370"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1</m:t>
              </m:r>
            </m:num>
            <m:den>
              <m:d>
                <m:dPr>
                  <m:begChr m:val="("/>
                  <m:endChr m:val=")"/>
                  <m:sepChr m:val=""/>
                  <m:grow/>
                </m:dPr>
                <m:e>
                  <m:r>
                    <m:t>i</m:t>
                  </m:r>
                  <m:r>
                    <m:t>C</m:t>
                  </m:r>
                  <m:sSub>
                    <m:e>
                      <m:r>
                        <m:t>w</m:t>
                      </m:r>
                    </m:e>
                    <m:sub>
                      <m:r>
                        <m:t>2</m:t>
                      </m:r>
                    </m:sub>
                  </m:sSub>
                  <m:r>
                    <m:t>w</m:t>
                  </m:r>
                  <m:r>
                    <m:rPr>
                      <m:sty m:val="p"/>
                    </m:rPr>
                    <m:t>+</m:t>
                  </m:r>
                  <m:f>
                    <m:fPr>
                      <m:type m:val="bar"/>
                    </m:fPr>
                    <m:num>
                      <m:r>
                        <m:t>1</m:t>
                      </m:r>
                    </m:num>
                    <m:den>
                      <m:r>
                        <m:t>R</m:t>
                      </m:r>
                      <m:sSub>
                        <m:e>
                          <m:r>
                            <m:t>w</m:t>
                          </m:r>
                        </m:e>
                        <m:sub>
                          <m:r>
                            <m:t>2</m:t>
                          </m:r>
                        </m:sub>
                      </m:sSub>
                    </m:den>
                  </m:f>
                </m:e>
              </m:d>
              <m:d>
                <m:dPr>
                  <m:begChr m:val="("/>
                  <m:endChr m:val=")"/>
                  <m:sepChr m:val=""/>
                  <m:grow/>
                </m:dPr>
                <m:e>
                  <m:r>
                    <m:t>R</m:t>
                  </m:r>
                  <m:sSub>
                    <m:e>
                      <m:r>
                        <m:t>w</m:t>
                      </m:r>
                    </m:e>
                    <m:sub>
                      <m:r>
                        <m:t>1</m:t>
                      </m:r>
                    </m:sub>
                  </m:sSub>
                  <m:r>
                    <m:rPr>
                      <m:sty m:val="p"/>
                    </m:rPr>
                    <m:t>+</m:t>
                  </m:r>
                  <m:f>
                    <m:fPr>
                      <m:type m:val="bar"/>
                    </m:fPr>
                    <m:num>
                      <m:r>
                        <m:t>1</m:t>
                      </m:r>
                    </m:num>
                    <m:den>
                      <m:r>
                        <m:t>i</m:t>
                      </m:r>
                      <m:r>
                        <m:t>C</m:t>
                      </m:r>
                      <m:sSub>
                        <m:e>
                          <m:r>
                            <m:t>w</m:t>
                          </m:r>
                        </m:e>
                        <m:sub>
                          <m:r>
                            <m:t>2</m:t>
                          </m:r>
                        </m:sub>
                      </m:sSub>
                      <m:r>
                        <m:t>w</m:t>
                      </m:r>
                      <m:r>
                        <m:rPr>
                          <m:sty m:val="p"/>
                        </m:rPr>
                        <m:t>+</m:t>
                      </m:r>
                      <m:f>
                        <m:fPr>
                          <m:type m:val="bar"/>
                        </m:fPr>
                        <m:num>
                          <m:r>
                            <m:t>1</m:t>
                          </m:r>
                        </m:num>
                        <m:den>
                          <m:r>
                            <m:t>R</m:t>
                          </m:r>
                          <m:sSub>
                            <m:e>
                              <m:r>
                                <m:t>w</m:t>
                              </m:r>
                            </m:e>
                            <m:sub>
                              <m:r>
                                <m:t>2</m:t>
                              </m:r>
                            </m:sub>
                          </m:sSub>
                        </m:den>
                      </m:f>
                    </m:den>
                  </m:f>
                  <m:r>
                    <m:rPr>
                      <m:sty m:val="p"/>
                    </m:rPr>
                    <m:t>−</m:t>
                  </m:r>
                  <m:f>
                    <m:fPr>
                      <m:type m:val="bar"/>
                    </m:fPr>
                    <m:num>
                      <m:r>
                        <m:t>i</m:t>
                      </m:r>
                    </m:num>
                    <m:den>
                      <m:r>
                        <m:t>C</m:t>
                      </m:r>
                      <m:sSub>
                        <m:e>
                          <m:r>
                            <m:t>w</m:t>
                          </m:r>
                        </m:e>
                        <m:sub>
                          <m:r>
                            <m:t>1</m:t>
                          </m:r>
                        </m:sub>
                      </m:sSub>
                      <m:r>
                        <m:t>w</m:t>
                      </m:r>
                    </m:den>
                  </m:f>
                </m:e>
              </m:d>
            </m:den>
          </m:f>
          <m:r>
            <m:t>  </m:t>
          </m:r>
          <m:d>
            <m:dPr>
              <m:begChr m:val="("/>
              <m:endChr m:val=")"/>
              <m:sepChr m:val=""/>
              <m:grow/>
            </m:dPr>
            <m:e>
              <m:r>
                <m:t>6.1</m:t>
              </m:r>
            </m:e>
          </m:d>
        </m:oMath>
      </m:oMathPara>
      <w:bookmarkEnd w:id="370"/>
    </w:p>
    <w:p>
      <w:pPr>
        <w:pStyle w:val="FirstParagraph"/>
      </w:pPr>
      <w:r>
        <w:t xml:space="preserve">Werden die zwei Widerstände und die zwei Kondensatoren als gleich angenommen, also</w:t>
      </w:r>
      <w:r>
        <w:t xml:space="preserve"> </w:t>
      </w:r>
      <m:oMath>
        <m:r>
          <m:t>R</m:t>
        </m:r>
        <m:r>
          <m:t>w</m:t>
        </m:r>
        <m:r>
          <m:t>1</m:t>
        </m:r>
        <m:r>
          <m:rPr>
            <m:sty m:val="p"/>
          </m:rPr>
          <m:t>=</m:t>
        </m:r>
        <m:r>
          <m:t>R</m:t>
        </m:r>
        <m:r>
          <m:t>w</m:t>
        </m:r>
        <m:r>
          <m:t>2</m:t>
        </m:r>
        <m:r>
          <m:rPr>
            <m:sty m:val="p"/>
          </m:rPr>
          <m:t>=</m:t>
        </m:r>
        <m:r>
          <m:t>R</m:t>
        </m:r>
      </m:oMath>
      <w:r>
        <w:t xml:space="preserve"> </w:t>
      </w:r>
      <w:r>
        <w:t xml:space="preserve">und</w:t>
      </w:r>
      <w:r>
        <w:t xml:space="preserve"> </w:t>
      </w:r>
      <m:oMath>
        <m:r>
          <m:t>C</m:t>
        </m:r>
        <m:r>
          <m:t>w</m:t>
        </m:r>
        <m:r>
          <m:t>1</m:t>
        </m:r>
        <m:r>
          <m:rPr>
            <m:sty m:val="p"/>
          </m:rPr>
          <m:t>=</m:t>
        </m:r>
        <m:r>
          <m:t>C</m:t>
        </m:r>
        <m:r>
          <m:t>w</m:t>
        </m:r>
        <m:r>
          <m:t>2</m:t>
        </m:r>
        <m:r>
          <m:rPr>
            <m:sty m:val="p"/>
          </m:rPr>
          <m:t>=</m:t>
        </m:r>
        <m:r>
          <m:t>C</m:t>
        </m:r>
      </m:oMath>
      <w:r>
        <w:t xml:space="preserve"> </w:t>
      </w:r>
      <w:r>
        <w:t xml:space="preserve">ergibt sich folgende Vereinfachung.</w:t>
      </w:r>
    </w:p>
    <w:p>
      <w:pPr>
        <w:pStyle w:val="BodyText"/>
      </w:pPr>
      <w:bookmarkStart w:id="371"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i</m:t>
              </m:r>
              <m:r>
                <m:t>C</m:t>
              </m:r>
              <m:r>
                <m:t>R</m:t>
              </m:r>
              <m:r>
                <m:t>w</m:t>
              </m:r>
            </m:num>
            <m:den>
              <m:r>
                <m:rPr>
                  <m:sty m:val="p"/>
                </m:rPr>
                <m:t>−</m:t>
              </m:r>
              <m:sSup>
                <m:e>
                  <m:r>
                    <m:t>C</m:t>
                  </m:r>
                </m:e>
                <m:sup>
                  <m:r>
                    <m:t>2</m:t>
                  </m:r>
                </m:sup>
              </m:sSup>
              <m:sSup>
                <m:e>
                  <m:r>
                    <m:t>R</m:t>
                  </m:r>
                </m:e>
                <m:sup>
                  <m:r>
                    <m:t>2</m:t>
                  </m:r>
                </m:sup>
              </m:sSup>
              <m:sSup>
                <m:e>
                  <m:r>
                    <m:t>w</m:t>
                  </m:r>
                </m:e>
                <m:sup>
                  <m:r>
                    <m:t>2</m:t>
                  </m:r>
                </m:sup>
              </m:sSup>
              <m:r>
                <m:rPr>
                  <m:sty m:val="p"/>
                </m:rPr>
                <m:t>+</m:t>
              </m:r>
              <m:r>
                <m:t>3</m:t>
              </m:r>
              <m:r>
                <m:t>i</m:t>
              </m:r>
              <m:r>
                <m:t>C</m:t>
              </m:r>
              <m:r>
                <m:t>R</m:t>
              </m:r>
              <m:r>
                <m:t>w</m:t>
              </m:r>
              <m:r>
                <m:rPr>
                  <m:sty m:val="p"/>
                </m:rPr>
                <m:t>+</m:t>
              </m:r>
              <m:r>
                <m:t>1</m:t>
              </m:r>
            </m:den>
          </m:f>
          <m:r>
            <m:t>  </m:t>
          </m:r>
          <m:d>
            <m:dPr>
              <m:begChr m:val="("/>
              <m:endChr m:val=")"/>
              <m:sepChr m:val=""/>
              <m:grow/>
            </m:dPr>
            <m:e>
              <m:r>
                <m:t>6.2</m:t>
              </m:r>
            </m:e>
          </m:d>
        </m:oMath>
      </m:oMathPara>
      <w:bookmarkEnd w:id="371"/>
    </w:p>
    <w:p>
      <w:pPr>
        <w:pStyle w:val="FirstParagraph"/>
      </w:pPr>
      <w:r>
        <w:t xml:space="preserve">Bei der Schwingfrequenz des Oszillator handelt es sich um die Eigenfrequenz des Schwingkreises. Bei der Schwingfrequenz ist der Imaginärteil Null. Das lässt sich benutzen um die Eigenfrequenz zu berechnen. Ist der Zähler rein real, erfordert ein erweitern der obigen Gleichung mit</w:t>
      </w:r>
      <w:r>
        <w:t xml:space="preserve"> </w:t>
      </w:r>
      <m:oMath>
        <m:r>
          <m:t>i</m:t>
        </m:r>
        <m:r>
          <m:rPr>
            <m:sty m:val="p"/>
          </m:rPr>
          <m:t>/</m:t>
        </m:r>
        <m:r>
          <m:t>i</m:t>
        </m:r>
      </m:oMath>
      <w:r>
        <w:t xml:space="preserve">, kann nur der Imaginärteil des Nenners betrachtet werden.</w:t>
      </w:r>
    </w:p>
    <w:p>
      <w:pPr>
        <w:pStyle w:val="BodyText"/>
      </w:pPr>
      <w:bookmarkStart w:id="372" w:name="eq-Dummy"/>
      <m:oMathPara>
        <m:oMathParaPr>
          <m:jc m:val="center"/>
        </m:oMathParaPr>
        <m:oMath>
          <m:r>
            <m:t>i</m:t>
          </m:r>
          <m:r>
            <m:t>m</m:t>
          </m:r>
          <m:d>
            <m:dPr>
              <m:begChr m:val="("/>
              <m:endChr m:val=")"/>
              <m:sepChr m:val=""/>
              <m:grow/>
            </m:dPr>
            <m:e>
              <m:r>
                <m:t>N</m:t>
              </m:r>
              <m:r>
                <m:t>e</m:t>
              </m:r>
              <m:r>
                <m:t>n</m:t>
              </m:r>
              <m:r>
                <m:t>n</m:t>
              </m:r>
              <m:r>
                <m:t>e</m:t>
              </m:r>
              <m:r>
                <m:t>r</m:t>
              </m:r>
            </m:e>
          </m:d>
          <m:r>
            <m:rPr>
              <m:sty m:val="p"/>
            </m:rPr>
            <m:t>=</m:t>
          </m:r>
          <m:r>
            <m:rPr>
              <m:sty m:val="p"/>
            </m:rPr>
            <m:t>−</m:t>
          </m:r>
          <m:sSup>
            <m:e>
              <m:r>
                <m:t>C</m:t>
              </m:r>
            </m:e>
            <m:sup>
              <m:r>
                <m:t>2</m:t>
              </m:r>
            </m:sup>
          </m:sSup>
          <m:sSup>
            <m:e>
              <m:r>
                <m:t>R</m:t>
              </m:r>
            </m:e>
            <m:sup>
              <m:r>
                <m:t>2</m:t>
              </m:r>
            </m:sup>
          </m:sSup>
          <m:sSup>
            <m:e>
              <m:r>
                <m:t>w</m:t>
              </m:r>
            </m:e>
            <m:sup>
              <m:r>
                <m:t>2</m:t>
              </m:r>
            </m:sup>
          </m:sSup>
          <m:r>
            <m:rPr>
              <m:sty m:val="p"/>
            </m:rPr>
            <m:t>+</m:t>
          </m:r>
          <m:r>
            <m:t>1</m:t>
          </m:r>
          <m:r>
            <m:t>  </m:t>
          </m:r>
          <m:d>
            <m:dPr>
              <m:begChr m:val="("/>
              <m:endChr m:val=")"/>
              <m:sepChr m:val=""/>
              <m:grow/>
            </m:dPr>
            <m:e>
              <m:r>
                <m:t>6.3</m:t>
              </m:r>
            </m:e>
          </m:d>
        </m:oMath>
      </m:oMathPara>
      <w:bookmarkEnd w:id="372"/>
    </w:p>
    <w:p>
      <w:pPr>
        <w:pStyle w:val="FirstParagraph"/>
      </w:pPr>
      <w:r>
        <w:t xml:space="preserve">Wird die Gleichung nach</w:t>
      </w:r>
      <w:r>
        <w:t xml:space="preserve"> </w:t>
      </w:r>
      <m:oMath>
        <m:r>
          <m:t>ω</m:t>
        </m:r>
      </m:oMath>
      <w:r>
        <w:t xml:space="preserve"> </w:t>
      </w:r>
      <w:r>
        <w:t xml:space="preserve">aufgelöst ergibt sich die Gleichung für die Eigenfrequenz</w:t>
      </w:r>
      <w:r>
        <w:t xml:space="preserve"> </w:t>
      </w:r>
      <m:oMath>
        <m:sSub>
          <m:e>
            <m:r>
              <m:t>ω</m:t>
            </m:r>
          </m:e>
          <m:sub>
            <m:r>
              <m:t>0</m:t>
            </m:r>
          </m:sub>
        </m:sSub>
      </m:oMath>
      <w:r>
        <w:t xml:space="preserve"> </w:t>
      </w:r>
      <w:r>
        <w:t xml:space="preserve">des Schwingkreises.</w:t>
      </w:r>
    </w:p>
    <w:p>
      <w:pPr>
        <w:pStyle w:val="BodyText"/>
      </w:pPr>
      <w:bookmarkStart w:id="373" w:name="eq-Dummy"/>
      <m:oMathPara>
        <m:oMathParaPr>
          <m:jc m:val="center"/>
        </m:oMathParaPr>
        <m:oMath>
          <m:sSub>
            <m:e>
              <m:r>
                <m:t>w</m:t>
              </m:r>
            </m:e>
            <m:sub>
              <m:r>
                <m:t>0</m:t>
              </m:r>
            </m:sub>
          </m:sSub>
          <m:r>
            <m:rPr>
              <m:sty m:val="p"/>
            </m:rPr>
            <m:t>=</m:t>
          </m:r>
          <m:f>
            <m:fPr>
              <m:type m:val="bar"/>
            </m:fPr>
            <m:num>
              <m:r>
                <m:t>1</m:t>
              </m:r>
            </m:num>
            <m:den>
              <m:r>
                <m:t>C</m:t>
              </m:r>
              <m:r>
                <m:t>R</m:t>
              </m:r>
            </m:den>
          </m:f>
          <m:r>
            <m:t>  </m:t>
          </m:r>
          <m:d>
            <m:dPr>
              <m:begChr m:val="("/>
              <m:endChr m:val=")"/>
              <m:sepChr m:val=""/>
              <m:grow/>
            </m:dPr>
            <m:e>
              <m:r>
                <m:t>6.4</m:t>
              </m:r>
            </m:e>
          </m:d>
        </m:oMath>
      </m:oMathPara>
      <w:bookmarkEnd w:id="373"/>
    </w:p>
    <w:p>
      <w:pPr>
        <w:pStyle w:val="FirstParagraph"/>
      </w:pPr>
      <w:r>
        <w:t xml:space="preserve">Mit den Zahlenwerten für die Bauteile ergibt sich folgender Wert für die Eigenfrequenz des Schwingkreises.</w:t>
      </w:r>
    </w:p>
    <w:p>
      <w:pPr>
        <w:pStyle w:val="BodyText"/>
      </w:pPr>
      <m:oMathPara>
        <m:oMathParaPr>
          <m:jc m:val="center"/>
        </m:oMathParaPr>
        <m:oMath>
          <m:r>
            <m:t>R</m:t>
          </m:r>
          <m:r>
            <m:rPr>
              <m:sty m:val="p"/>
            </m:rPr>
            <m:t>=</m:t>
          </m:r>
          <m:r>
            <m:rPr>
              <m:nor/>
              <m:sty m:val="p"/>
            </m:rPr>
            <m:t>1</m:t>
          </m:r>
          <m:r>
            <m:t> </m:t>
          </m:r>
          <m:r>
            <m:rPr>
              <m:nor/>
              <m:sty m:val="p"/>
            </m:rPr>
            <m:t>k</m:t>
          </m:r>
          <m:r>
            <m:t>Ω</m:t>
          </m:r>
        </m:oMath>
      </m:oMathPara>
    </w:p>
    <w:p>
      <w:pPr>
        <w:pStyle w:val="FirstParagraph"/>
      </w:pPr>
      <m:oMathPara>
        <m:oMathParaPr>
          <m:jc m:val="center"/>
        </m:oMathParaPr>
        <m:oMath>
          <m:r>
            <m:t>C</m:t>
          </m:r>
          <m:r>
            <m:rPr>
              <m:sty m:val="p"/>
            </m:rPr>
            <m:t>=</m:t>
          </m:r>
          <m:r>
            <m:rPr>
              <m:nor/>
              <m:sty m:val="p"/>
            </m:rPr>
            <m:t>100</m:t>
          </m:r>
          <m:r>
            <m:t> </m:t>
          </m:r>
          <m:r>
            <m:rPr>
              <m:nor/>
              <m:sty m:val="p"/>
            </m:rPr>
            <m:t>n</m:t>
          </m:r>
          <m:r>
            <m:rPr>
              <m:nor/>
              <m:sty m:val="p"/>
            </m:rPr>
            <m:t>F</m:t>
          </m:r>
        </m:oMath>
      </m:oMathPara>
    </w:p>
    <w:p>
      <w:pPr>
        <w:pStyle w:val="FirstParagraph"/>
      </w:pPr>
      <m:oMathPara>
        <m:oMathParaPr>
          <m:jc m:val="center"/>
        </m:oMathParaPr>
        <m:oMath>
          <m:sSub>
            <m:e>
              <m:r>
                <m:t>w</m:t>
              </m:r>
            </m:e>
            <m:sub>
              <m:r>
                <m:t>0</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bookmarkStart w:id="374" w:name="eq-Dummy"/>
      <m:oMathPara>
        <m:oMathParaPr>
          <m:jc m:val="center"/>
        </m:oMathParaPr>
        <m:oMath>
          <m:sSub>
            <m:e>
              <m:r>
                <m:t>f</m:t>
              </m:r>
            </m:e>
            <m:sub>
              <m:r>
                <m:t>0</m:t>
              </m:r>
            </m:sub>
          </m:sSub>
          <m:r>
            <m:rPr>
              <m:sty m:val="p"/>
            </m:rPr>
            <m:t>=</m:t>
          </m:r>
          <m:f>
            <m:fPr>
              <m:type m:val="bar"/>
            </m:fPr>
            <m:num>
              <m:sSub>
                <m:e>
                  <m:r>
                    <m:t>w</m:t>
                  </m:r>
                </m:e>
                <m:sub>
                  <m:r>
                    <m:t>0</m:t>
                  </m:r>
                </m:sub>
              </m:sSub>
            </m:num>
            <m:den>
              <m:r>
                <m:t>2</m:t>
              </m:r>
              <m:r>
                <m:t>π</m:t>
              </m:r>
            </m:den>
          </m:f>
          <m:r>
            <m:t>  </m:t>
          </m:r>
          <m:d>
            <m:dPr>
              <m:begChr m:val="("/>
              <m:endChr m:val=")"/>
              <m:sepChr m:val=""/>
              <m:grow/>
            </m:dPr>
            <m:e>
              <m:r>
                <m:t>6.5</m:t>
              </m:r>
            </m:e>
          </m:d>
        </m:oMath>
      </m:oMathPara>
      <w:bookmarkEnd w:id="374"/>
    </w:p>
    <w:p>
      <w:pPr>
        <w:pStyle w:val="FirstParagraph"/>
      </w:pPr>
      <m:oMathPara>
        <m:oMathParaPr>
          <m:jc m:val="center"/>
        </m:oMathParaPr>
        <m:oMath>
          <m:sSub>
            <m:e>
              <m:r>
                <m:t>f</m:t>
              </m:r>
            </m:e>
            <m:sub>
              <m:r>
                <m:t>0</m:t>
              </m:r>
            </m:sub>
          </m:sSub>
          <m:r>
            <m:rPr>
              <m:sty m:val="p"/>
            </m:rPr>
            <m:t>=</m:t>
          </m:r>
          <m:r>
            <m:rPr>
              <m:nor/>
              <m:sty m:val="p"/>
            </m:rPr>
            <m:t>1.59</m:t>
          </m:r>
          <m:r>
            <m:t> </m:t>
          </m:r>
          <m:r>
            <m:rPr>
              <m:nor/>
              <m:sty m:val="p"/>
            </m:rPr>
            <m:t>kHz</m:t>
          </m:r>
        </m:oMath>
      </m:oMathPara>
    </w:p>
    <w:p>
      <w:pPr>
        <w:pStyle w:val="FirstParagraph"/>
      </w:pPr>
      <w:r>
        <w:t xml:space="preserve">Wird</w:t>
      </w:r>
      <w:r>
        <w:t xml:space="preserve"> </w:t>
      </w:r>
      <m:oMath>
        <m:r>
          <m:t>i</m:t>
        </m:r>
        <m:r>
          <m:t>ω</m:t>
        </m:r>
      </m:oMath>
      <w:r>
        <w:t xml:space="preserve"> </w:t>
      </w:r>
      <w:r>
        <w:t xml:space="preserve">mit</w:t>
      </w:r>
      <w:r>
        <w:t xml:space="preserve"> </w:t>
      </w:r>
      <m:oMath>
        <m:r>
          <m:t>s</m:t>
        </m:r>
      </m:oMath>
      <w:r>
        <w:t xml:space="preserve"> </w:t>
      </w:r>
      <w:r>
        <w:t xml:space="preserve">ersetzt ergibt sich die Übertragungsfunktion des Schwingkreises in Laplace-Form. Damit kann die Übertragungsfunktion des gesamten Systems berechnet werden und der Bode-Plot erstellt werden.</w:t>
      </w:r>
    </w:p>
    <w:p>
      <w:pPr>
        <w:pStyle w:val="BodyText"/>
      </w:pPr>
      <w:bookmarkStart w:id="375" w:name="eq-Dummy"/>
      <m:oMathPara>
        <m:oMathParaPr>
          <m:jc m:val="center"/>
        </m:oMathParaPr>
        <m:oMath>
          <m:sSub>
            <m:e>
              <m:r>
                <m:t>H</m:t>
              </m:r>
            </m:e>
            <m:sub>
              <m:r>
                <m:t>1</m:t>
              </m:r>
            </m:sub>
          </m:sSub>
          <m:r>
            <m:rPr>
              <m:sty m:val="p"/>
            </m:rPr>
            <m:t>=</m:t>
          </m:r>
          <m:f>
            <m:fPr>
              <m:type m:val="bar"/>
            </m:fPr>
            <m:num>
              <m:r>
                <m:t>C</m:t>
              </m:r>
              <m:r>
                <m:t>R</m:t>
              </m:r>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6.6</m:t>
              </m:r>
            </m:e>
          </m:d>
        </m:oMath>
      </m:oMathPara>
      <w:bookmarkEnd w:id="375"/>
    </w:p>
    <w:p>
      <w:pPr>
        <w:pStyle w:val="FirstParagraph"/>
      </w:pPr>
      <w:r>
        <w:t xml:space="preserve">Im Bodediagramm ist die Eigenfrequenz am Punkt der größten Verstärkung zu sehen. Da bei</w:t>
      </w:r>
      <w:r>
        <w:t xml:space="preserve"> </w:t>
      </w:r>
      <m:oMath>
        <m:r>
          <m:t>ω</m:t>
        </m:r>
        <m:r>
          <m:rPr>
            <m:sty m:val="p"/>
          </m:rPr>
          <m:t>=</m:t>
        </m:r>
        <m:sSub>
          <m:e>
            <m:r>
              <m:t>ω</m:t>
            </m:r>
          </m:e>
          <m:sub>
            <m:r>
              <m:t>0</m:t>
            </m:r>
          </m:sub>
        </m:sSub>
      </m:oMath>
      <w:r>
        <w:t xml:space="preserve"> </w:t>
      </w:r>
      <w:r>
        <w:t xml:space="preserve">gilt, dass der Imaginärteil Null ist muss bei der Eigenfrequenz auch die Phasenverschiebung Null sein. Damit ist aus dem Bodediagramm die Eigenfrequenz abzulesen. Es ist zu erkennen, dass die Eigenfrequenz des Schwingkreises beim berechneten Wert liegt.</w:t>
      </w:r>
    </w:p>
    <w:bookmarkEnd w:id="376"/>
    <w:bookmarkStart w:id="383" w:name="simulation"/>
    <w:p>
      <w:pPr>
        <w:pStyle w:val="Heading4"/>
      </w:pPr>
      <w:r>
        <w:t xml:space="preserve">6.2.1.2 Simulation</w:t>
      </w:r>
    </w:p>
    <w:p>
      <w:pPr>
        <w:pStyle w:val="FirstParagraph"/>
      </w:pPr>
      <w:r>
        <w:t xml:space="preserve">Mittels</w:t>
      </w:r>
      <w:r>
        <w:t xml:space="preserve"> </w:t>
      </w:r>
      <w:r>
        <w:rPr>
          <w:iCs/>
          <w:i/>
        </w:rPr>
        <w:t xml:space="preserve">AC-Analysis</w:t>
      </w:r>
      <w:r>
        <w:t xml:space="preserve"> </w:t>
      </w:r>
      <w:r>
        <w:t xml:space="preserve">kann die Übertragungsfunktion des Schwingkreises simuliert werden. Die Simulationseinstellungen richten sich nach der erwarteten Frequenz des Schwingkreises. Die Simulationseinstellungen für oben gewählte Werte</w:t>
      </w:r>
    </w:p>
    <w:p>
      <w:pPr>
        <w:pStyle w:val="SourceCode"/>
      </w:pPr>
      <w:r>
        <w:rPr>
          <w:rStyle w:val="NormalTok"/>
        </w:rPr>
        <w:t xml:space="preserve">.PLOT AC {MAG(v(uout)/v(uin))} =PLOT(1) =AXIS(1)</w:t>
      </w:r>
      <w:r>
        <w:br/>
      </w:r>
      <w:r>
        <w:rPr>
          <w:rStyle w:val="NormalTok"/>
        </w:rPr>
        <w:t xml:space="preserve">.PLOT AC {PHASE(v(uout)/v(uin))} =PLOT(1) =AXIS(2)</w:t>
      </w:r>
      <w:r>
        <w:br/>
      </w:r>
      <w:r>
        <w:br/>
      </w:r>
      <w:r>
        <w:rPr>
          <w:rStyle w:val="NormalTok"/>
        </w:rPr>
        <w:t xml:space="preserve">*Selected Circuit Analyses:</w:t>
      </w:r>
      <w:r>
        <w:br/>
      </w:r>
      <w:r>
        <w:rPr>
          <w:rStyle w:val="NormalTok"/>
        </w:rPr>
        <w:t xml:space="preserve">.AC DEC 10 10 10meg</w:t>
      </w:r>
    </w:p>
    <w:tbl>
      <w:tblPr>
        <w:tblStyle w:val="Table"/>
        <w:tblW w:type="pct" w:w="5000"/>
        <w:tblLook w:firstRow="0" w:lastRow="0" w:firstColumn="0" w:lastColumn="0" w:noHBand="0" w:noVBand="0" w:val="0000"/>
        <w:jc w:val="start"/>
        <w:tblLayout w:type="fixed"/>
      </w:tblPr>
      <w:tblGrid>
        <w:gridCol w:w="7920"/>
      </w:tblGrid>
      <w:tr>
        <w:tc>
          <w:tcPr/>
          <w:bookmarkStart w:id="380" w:name="fig-ACBodeRCSchwingkreis"/>
          <w:p>
            <w:pPr>
              <w:pStyle w:val="Compact"/>
              <w:jc w:val="center"/>
            </w:pPr>
            <w:r>
              <w:drawing>
                <wp:inline>
                  <wp:extent cx="5334000" cy="2804948"/>
                  <wp:effectExtent b="0" l="0" r="0" t="0"/>
                  <wp:docPr descr="" title="" id="378" name="Picture"/>
                  <a:graphic>
                    <a:graphicData uri="http://schemas.openxmlformats.org/drawingml/2006/picture">
                      <pic:pic>
                        <pic:nvPicPr>
                          <pic:cNvPr descr="Projekte/Oszillator/ACAnalysis.png" id="379" name="Picture"/>
                          <pic:cNvPicPr>
                            <a:picLocks noChangeArrowheads="1" noChangeAspect="1"/>
                          </pic:cNvPicPr>
                        </pic:nvPicPr>
                        <pic:blipFill>
                          <a:blip r:embed="rId377"/>
                          <a:stretch>
                            <a:fillRect/>
                          </a:stretch>
                        </pic:blipFill>
                        <pic:spPr bwMode="auto">
                          <a:xfrm>
                            <a:off x="0" y="0"/>
                            <a:ext cx="5334000" cy="280494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Bodediagramm des Schwingkreises</w:t>
            </w:r>
          </w:p>
          <w:bookmarkEnd w:id="380"/>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81" w:name="tbl-OscACAnalysis"/>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1,5816 kHz</w:t>
                  </w:r>
                </w:p>
              </w:tc>
              <w:tc>
                <w:tcPr/>
                <w:p>
                  <w:pPr>
                    <w:pStyle w:val="Compact"/>
                    <w:jc w:val="left"/>
                    <w:jc w:val="center"/>
                  </w:pPr>
                  <w:r>
                    <w:t xml:space="preserve">333,30 m</w:t>
                  </w:r>
                </w:p>
              </w:tc>
            </w:tr>
            <w:tr>
              <w:tc>
                <w:tcPr/>
                <w:p>
                  <w:pPr>
                    <w:pStyle w:val="Compact"/>
                    <w:jc w:val="left"/>
                    <w:jc w:val="center"/>
                  </w:pPr>
                  <w:r>
                    <w:t xml:space="preserve">PHASE(v(uout)/v(uin))</w:t>
                  </w:r>
                </w:p>
              </w:tc>
              <w:tc>
                <w:tcPr/>
                <w:p>
                  <w:pPr>
                    <w:pStyle w:val="Compact"/>
                    <w:jc w:val="left"/>
                    <w:jc w:val="center"/>
                  </w:pPr>
                  <w:r>
                    <w:t xml:space="preserve">1,5915 kHz</w:t>
                  </w:r>
                </w:p>
              </w:tc>
              <w:tc>
                <w:tcPr/>
                <w:p>
                  <w:pPr>
                    <w:pStyle w:val="Compact"/>
                    <w:jc w:val="left"/>
                    <w:jc w:val="center"/>
                  </w:pPr>
                  <w:r>
                    <w:t xml:space="preserve">-13,239 f°</w:t>
                  </w:r>
                </w:p>
              </w:tc>
            </w:tr>
          </w:tbl>
          <w:p>
            <w:pPr>
              <w:jc w:val="center"/>
            </w:pPr>
            <w:pPr>
              <w:jc w:val="start"/>
              <w:spacing w:before="200"/>
              <w:pStyle w:val="ImageCaption"/>
            </w:pPr>
            <w:r>
              <w:t xml:space="preserve">Tabelle 6.1: Simulations Ergebnisse für den Schwingkreis an der Eigenfrequenz</w:t>
            </w:r>
            <w:r>
              <w:t xml:space="preserve"> </w:t>
            </w:r>
            <m:oMath>
              <m:sSub>
                <m:e>
                  <m:r>
                    <m:t>ω</m:t>
                  </m:r>
                </m:e>
                <m:sub>
                  <m:r>
                    <m:t>0</m:t>
                  </m:r>
                </m:sub>
              </m:sSub>
            </m:oMath>
            <w:r>
              <w:t xml:space="preserve">.</w:t>
            </w:r>
          </w:p>
          <w:bookmarkEnd w:id="381"/>
        </w:tc>
      </w:tr>
    </w:tbl>
    <w:p>
      <w:pPr>
        <w:pStyle w:val="BodyText"/>
      </w:pPr>
      <w:r>
        <w:t xml:space="preserve">Um die Ergebnisse vergleichen zu können muss von der Frequenz auf die Kreisfrequenz umgerechnet werden.</w:t>
      </w:r>
    </w:p>
    <w:p>
      <w:pPr>
        <w:pStyle w:val="BodyText"/>
      </w:pPr>
      <w:bookmarkStart w:id="382" w:name="eq-Dummy"/>
      <m:oMathPara>
        <m:oMathParaPr>
          <m:jc m:val="center"/>
        </m:oMathParaPr>
        <m:oMath>
          <m:sSub>
            <m:e>
              <m:r>
                <m:t>w</m:t>
              </m:r>
            </m:e>
            <m:sub>
              <m:r>
                <m:t>0</m:t>
              </m:r>
              <m:r>
                <m:t>s</m:t>
              </m:r>
              <m:r>
                <m:t>i</m:t>
              </m:r>
              <m:r>
                <m:t>m</m:t>
              </m:r>
            </m:sub>
          </m:sSub>
          <m:r>
            <m:rPr>
              <m:sty m:val="p"/>
            </m:rPr>
            <m:t>=</m:t>
          </m:r>
          <m:r>
            <m:t>2</m:t>
          </m:r>
          <m:sSub>
            <m:e>
              <m:r>
                <m:t>f</m:t>
              </m:r>
            </m:e>
            <m:sub>
              <m:r>
                <m:t>0</m:t>
              </m:r>
              <m:r>
                <m:t>s</m:t>
              </m:r>
              <m:r>
                <m:t>i</m:t>
              </m:r>
              <m:r>
                <m:t>m</m:t>
              </m:r>
            </m:sub>
          </m:sSub>
          <m:r>
            <m:t>π</m:t>
          </m:r>
          <m:r>
            <m:t>  </m:t>
          </m:r>
          <m:d>
            <m:dPr>
              <m:begChr m:val="("/>
              <m:endChr m:val=")"/>
              <m:sepChr m:val=""/>
              <m:grow/>
            </m:dPr>
            <m:e>
              <m:r>
                <m:t>6.7</m:t>
              </m:r>
            </m:e>
          </m:d>
        </m:oMath>
      </m:oMathPara>
      <w:bookmarkEnd w:id="382"/>
    </w:p>
    <w:p>
      <w:pPr>
        <w:pStyle w:val="FirstParagraph"/>
      </w:pPr>
      <m:oMathPara>
        <m:oMathParaPr>
          <m:jc m:val="center"/>
        </m:oMathParaPr>
        <m:oMath>
          <m:sSub>
            <m:e>
              <m:r>
                <m:t>f</m:t>
              </m:r>
            </m:e>
            <m:sub>
              <m:r>
                <m:t>0</m:t>
              </m:r>
              <m:r>
                <m:t>s</m:t>
              </m:r>
              <m:r>
                <m:t>i</m:t>
              </m:r>
              <m:r>
                <m:t>m</m:t>
              </m:r>
            </m:sub>
          </m:sSub>
          <m:r>
            <m:rPr>
              <m:sty m:val="p"/>
            </m:rPr>
            <m:t>=</m:t>
          </m:r>
          <m:r>
            <m:rPr>
              <m:nor/>
              <m:sty m:val="p"/>
            </m:rPr>
            <m:t>1.59</m:t>
          </m:r>
          <m:r>
            <m:t> </m:t>
          </m:r>
          <m:r>
            <m:rPr>
              <m:nor/>
              <m:sty m:val="p"/>
            </m:rPr>
            <m:t>k</m:t>
          </m:r>
          <m:r>
            <m:rPr>
              <m:nor/>
              <m:sty m:val="p"/>
            </m:rPr>
            <m:t>Hz</m:t>
          </m:r>
        </m:oMath>
      </m:oMathPara>
    </w:p>
    <w:p>
      <w:pPr>
        <w:pStyle w:val="FirstParagraph"/>
      </w:pPr>
      <m:oMathPara>
        <m:oMathParaPr>
          <m:jc m:val="center"/>
        </m:oMathParaPr>
        <m:oMath>
          <m:sSub>
            <m:e>
              <m:r>
                <m:t>w</m:t>
              </m:r>
            </m:e>
            <m:sub>
              <m:r>
                <m:t>0</m:t>
              </m:r>
              <m:r>
                <m:t>s</m:t>
              </m:r>
              <m:r>
                <m:t>i</m:t>
              </m:r>
              <m:r>
                <m:t>m</m:t>
              </m:r>
            </m:sub>
          </m:sSub>
          <m:r>
            <m:rPr>
              <m:sty m:val="p"/>
            </m:rPr>
            <m:t>=</m:t>
          </m:r>
          <m:r>
            <m:rPr>
              <m:nor/>
              <m:sty m:val="p"/>
            </m:rPr>
            <m:t>10</m:t>
          </m:r>
          <m:r>
            <m:t> </m:t>
          </m:r>
          <m:r>
            <m:rPr>
              <m:nor/>
              <m:sty m:val="p"/>
            </m:rPr>
            <m:t>k</m:t>
          </m:r>
          <m:f>
            <m:fPr>
              <m:type m:val="bar"/>
            </m:fPr>
            <m:num>
              <m:r>
                <m:rPr>
                  <m:nor/>
                  <m:sty m:val="p"/>
                </m:rPr>
                <m:t>rad</m:t>
              </m:r>
            </m:num>
            <m:den>
              <m:r>
                <m:rPr>
                  <m:nor/>
                  <m:sty m:val="p"/>
                </m:rPr>
                <m:t>s</m:t>
              </m:r>
            </m:den>
          </m:f>
        </m:oMath>
      </m:oMathPara>
    </w:p>
    <w:p>
      <w:pPr>
        <w:pStyle w:val="FirstParagraph"/>
      </w:pPr>
      <w:r>
        <w:t xml:space="preserve">Das Simulationsergebnis stimmt mit dem berechneten Wert aus</w:t>
      </w:r>
      <w:r>
        <w:t xml:space="preserve"> </w:t>
      </w:r>
      <w:hyperlink w:anchor="sec-OscMathBerechnung">
        <w:r>
          <w:rPr>
            <w:rStyle w:val="Hyperlink"/>
          </w:rPr>
          <w:t xml:space="preserve">Kapitel 6.2.1.1</w:t>
        </w:r>
      </w:hyperlink>
      <w:r>
        <w:t xml:space="preserve"> </w:t>
      </w:r>
      <w:r>
        <w:t xml:space="preserve">überein.</w:t>
      </w:r>
    </w:p>
    <w:bookmarkEnd w:id="383"/>
    <w:bookmarkEnd w:id="384"/>
    <w:bookmarkStart w:id="400" w:name="sec-OscRückkopplung"/>
    <w:p>
      <w:pPr>
        <w:pStyle w:val="Heading3"/>
      </w:pPr>
      <w:r>
        <w:t xml:space="preserve">6.2.2 Übertragungsfunktion des Oszillators</w:t>
      </w:r>
    </w:p>
    <w:p>
      <w:pPr>
        <w:pStyle w:val="FirstParagraph"/>
      </w:pPr>
      <w:r>
        <w:t xml:space="preserve">Um den Oszillator dauerhaft in Schwingung zu halten muss ein Teil des Ausgangssignals an den Eingang zurück gekoppelt werden, siehe</w:t>
      </w:r>
      <w:r>
        <w:t xml:space="preserve"> </w:t>
      </w:r>
      <w:hyperlink w:anchor="fig-OscBlockschaltbildOszillator">
        <w:r>
          <w:rPr>
            <w:rStyle w:val="Hyperlink"/>
          </w:rPr>
          <w:t xml:space="preserve">Abbildung 6.1</w:t>
        </w:r>
      </w:hyperlink>
      <w:r>
        <w:t xml:space="preserve">.</w:t>
      </w:r>
      <w:r>
        <w:br/>
      </w:r>
      <w:r>
        <w:t xml:space="preserve">Da das Signal am Ausgang des Schwingkreises eine kleinere Amplitude hat als das Signal am Eingang, wie im Bodediagramm</w:t>
      </w:r>
      <w:r>
        <w:t xml:space="preserve"> </w:t>
      </w:r>
      <w:r>
        <w:rPr>
          <w:bCs/>
          <w:b/>
        </w:rPr>
        <w:t xml:space="preserve">?@fig-ACAnalysis</w:t>
      </w:r>
      <w:r>
        <w:t xml:space="preserve"> </w:t>
      </w:r>
      <w:r>
        <w:t xml:space="preserve">ersichtlich ist, muss diese Dämpfung durch einen Verstärker,</w:t>
      </w:r>
      <w:r>
        <w:t xml:space="preserve"> </w:t>
      </w:r>
      <m:oMath>
        <m:sSub>
          <m:e>
            <m:r>
              <m:t>H</m:t>
            </m:r>
          </m:e>
          <m:sub>
            <m:r>
              <m:t>2</m:t>
            </m:r>
          </m:sub>
        </m:sSub>
      </m:oMath>
      <w:r>
        <w:t xml:space="preserve">, ausgeglichen werden.</w:t>
      </w:r>
    </w:p>
    <w:bookmarkStart w:id="386" w:name="X31a4e5177522a097e4a588df940742e20e15c54"/>
    <w:p>
      <w:pPr>
        <w:pStyle w:val="Heading4"/>
      </w:pPr>
      <w:r>
        <w:t xml:space="preserve">6.2.2.1 Übertragungsfunktion des Verstärkers</w:t>
      </w:r>
      <w:r>
        <w:t xml:space="preserve"> </w:t>
      </w:r>
      <m:oMath>
        <m:sSub>
          <m:e>
            <m:r>
              <m:t>H</m:t>
            </m:r>
          </m:e>
          <m:sub>
            <m:r>
              <m:t>2</m:t>
            </m:r>
          </m:sub>
        </m:sSub>
        <m:d>
          <m:dPr>
            <m:begChr m:val="("/>
            <m:endChr m:val=")"/>
            <m:sepChr m:val=""/>
            <m:grow/>
          </m:dPr>
          <m:e>
            <m:r>
              <m:t>s</m:t>
            </m:r>
          </m:e>
        </m:d>
      </m:oMath>
    </w:p>
    <w:p>
      <w:pPr>
        <w:pStyle w:val="FirstParagraph"/>
      </w:pPr>
      <w:r>
        <w:t xml:space="preserve">Die Übertragungsfunktion eines idealen Verstärkers ist eine Konstante. Eine reale OPV Verstärkerschaltung wird am besten mit einem PT1 oder PT2 Glied angenähert. ist die zu verstärkende Frequenz sehr klein im Verhältnis zu den Knickfrequenzen der Verstärkerschaltung ist aber das einfache Modelle einer Konstanten ausreichend. Für den hier gezeigten Fall trifft dies zu.</w:t>
      </w:r>
    </w:p>
    <w:p>
      <w:pPr>
        <w:pStyle w:val="BodyText"/>
      </w:pPr>
      <w:bookmarkStart w:id="385" w:name="eq-Dummy"/>
      <m:oMathPara>
        <m:oMathParaPr>
          <m:jc m:val="center"/>
        </m:oMathParaPr>
        <m:oMath>
          <m:sSub>
            <m:e>
              <m:r>
                <m:t>H</m:t>
              </m:r>
            </m:e>
            <m:sub>
              <m:r>
                <m:t>2</m:t>
              </m:r>
            </m:sub>
          </m:sSub>
          <m:r>
            <m:rPr>
              <m:sty m:val="p"/>
            </m:rPr>
            <m:t>=</m:t>
          </m:r>
          <m:sSub>
            <m:e>
              <m:r>
                <m:t>k</m:t>
              </m:r>
            </m:e>
            <m:sub>
              <m:r>
                <m:t>O</m:t>
              </m:r>
              <m:r>
                <m:t>P</m:t>
              </m:r>
              <m:r>
                <m:t>V</m:t>
              </m:r>
            </m:sub>
          </m:sSub>
          <m:r>
            <m:t>  </m:t>
          </m:r>
          <m:d>
            <m:dPr>
              <m:begChr m:val="("/>
              <m:endChr m:val=")"/>
              <m:sepChr m:val=""/>
              <m:grow/>
            </m:dPr>
            <m:e>
              <m:r>
                <m:t>6.8</m:t>
              </m:r>
            </m:e>
          </m:d>
        </m:oMath>
      </m:oMathPara>
      <w:bookmarkEnd w:id="385"/>
    </w:p>
    <w:p>
      <w:pPr>
        <w:pStyle w:val="FirstParagraph"/>
      </w:pPr>
      <m:oMath>
        <m:sSub>
          <m:e>
            <m:r>
              <m:t>k</m:t>
            </m:r>
          </m:e>
          <m:sub>
            <m:r>
              <m:t>O</m:t>
            </m:r>
            <m:r>
              <m:t>P</m:t>
            </m:r>
            <m:r>
              <m:t>V</m:t>
            </m:r>
          </m:sub>
        </m:sSub>
      </m:oMath>
      <w:r>
        <w:t xml:space="preserve"> </w:t>
      </w:r>
      <w:r>
        <w:t xml:space="preserve">… Verstärkung des Verstärkers</w:t>
      </w:r>
    </w:p>
    <w:bookmarkEnd w:id="386"/>
    <w:bookmarkStart w:id="393" w:name="open-loop-betrachtung"/>
    <w:p>
      <w:pPr>
        <w:pStyle w:val="Heading4"/>
      </w:pPr>
      <w:r>
        <w:t xml:space="preserve">6.2.2.2 Open Loop Betrachtung</w:t>
      </w:r>
    </w:p>
    <w:p>
      <w:pPr>
        <w:pStyle w:val="FirstParagraph"/>
      </w:pPr>
      <w:r>
        <w:t xml:space="preserve">Für die Beurteilung ob die Verstärkung des Verstärkers richtig gewählt wurde, kann das System ohne Rückkopplung betrachtet werden. Auch kann die Stabilität mittels Pol-Nullstellen Diagramm beurteilt werden.</w:t>
      </w:r>
      <w:r>
        <w:br/>
      </w:r>
      <w:r>
        <w:t xml:space="preserve">Die Übertragungsfunktion des offenen Systems, also ohne Rückkopplung, auch Open-Loop genannt, ist das Produkt der Übertragungsfunktionen des Schwingkreises und des Verstärkers.</w:t>
      </w:r>
    </w:p>
    <w:tbl>
      <w:tblPr>
        <w:tblStyle w:val="Table"/>
        <w:tblW w:type="pct" w:w="5000"/>
        <w:tblLook w:firstRow="0" w:lastRow="0" w:firstColumn="0" w:lastColumn="0" w:noHBand="0" w:noVBand="0" w:val="0000"/>
        <w:jc w:val="start"/>
        <w:tblLayout w:type="fixed"/>
      </w:tblPr>
      <w:tblGrid>
        <w:gridCol w:w="7920"/>
      </w:tblGrid>
      <w:tr>
        <w:tc>
          <w:tcPr/>
          <w:bookmarkStart w:id="390" w:name="fig-OscOpenLoop"/>
          <w:p>
            <w:pPr>
              <w:pStyle w:val="Compact"/>
              <w:jc w:val="center"/>
            </w:pPr>
            <w:r>
              <w:drawing>
                <wp:inline>
                  <wp:extent cx="3599999" cy="855605"/>
                  <wp:effectExtent b="0" l="0" r="0" t="0"/>
                  <wp:docPr descr="" title="" id="388" name="Picture"/>
                  <a:graphic>
                    <a:graphicData uri="http://schemas.openxmlformats.org/drawingml/2006/picture">
                      <pic:pic>
                        <pic:nvPicPr>
                          <pic:cNvPr descr="Projekte/Oszillator/OszillatorBlockschaltbildOpenLoop.png" id="389" name="Picture"/>
                          <pic:cNvPicPr>
                            <a:picLocks noChangeArrowheads="1" noChangeAspect="1"/>
                          </pic:cNvPicPr>
                        </pic:nvPicPr>
                        <pic:blipFill>
                          <a:blip r:embed="rId387"/>
                          <a:stretch>
                            <a:fillRect/>
                          </a:stretch>
                        </pic:blipFill>
                        <pic:spPr bwMode="auto">
                          <a:xfrm>
                            <a:off x="0" y="0"/>
                            <a:ext cx="3599999" cy="85560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6.4: Open Loop</w:t>
            </w:r>
          </w:p>
          <w:bookmarkEnd w:id="390"/>
        </w:tc>
      </w:tr>
    </w:tbl>
    <w:p>
      <w:pPr>
        <w:pStyle w:val="BodyText"/>
      </w:pPr>
      <w:bookmarkStart w:id="391" w:name="eq-Dummy"/>
      <m:oMathPara>
        <m:oMathParaPr>
          <m:jc m:val="center"/>
        </m:oMathParaPr>
        <m:oMath>
          <m:r>
            <m:t>H</m:t>
          </m:r>
          <m:r>
            <m:rPr>
              <m:sty m:val="p"/>
            </m:rPr>
            <m:t>=</m:t>
          </m:r>
          <m:sSub>
            <m:e>
              <m:r>
                <m:t>H</m:t>
              </m:r>
            </m:e>
            <m:sub>
              <m:r>
                <m:t>1</m:t>
              </m:r>
            </m:sub>
          </m:sSub>
          <m:sSub>
            <m:e>
              <m:r>
                <m:t>H</m:t>
              </m:r>
            </m:e>
            <m:sub>
              <m:r>
                <m:t>2</m:t>
              </m:r>
            </m:sub>
          </m:sSub>
          <m:r>
            <m:t>  </m:t>
          </m:r>
          <m:d>
            <m:dPr>
              <m:begChr m:val="("/>
              <m:endChr m:val=")"/>
              <m:sepChr m:val=""/>
              <m:grow/>
            </m:dPr>
            <m:e>
              <m:r>
                <m:t>6.9</m:t>
              </m:r>
            </m:e>
          </m:d>
        </m:oMath>
      </m:oMathPara>
      <w:bookmarkEnd w:id="391"/>
    </w:p>
    <w:p>
      <w:pPr>
        <w:pStyle w:val="FirstParagraph"/>
      </w:pPr>
      <w:bookmarkStart w:id="392" w:name="eq-Dummy"/>
      <m:oMathPara>
        <m:oMathParaPr>
          <m:jc m:val="center"/>
        </m:oMathParaPr>
        <m:oMath>
          <m:r>
            <m:t>H</m:t>
          </m:r>
          <m:r>
            <m:rPr>
              <m:sty m:val="p"/>
            </m:rPr>
            <m:t>=</m:t>
          </m:r>
          <m:f>
            <m:fPr>
              <m:type m:val="bar"/>
            </m:fPr>
            <m:num>
              <m:r>
                <m:t>C</m:t>
              </m:r>
              <m:r>
                <m:t>R</m:t>
              </m:r>
              <m:sSub>
                <m:e>
                  <m:r>
                    <m:t>k</m:t>
                  </m:r>
                </m:e>
                <m:sub>
                  <m:r>
                    <m:t>O</m:t>
                  </m:r>
                  <m:r>
                    <m:t>P</m:t>
                  </m:r>
                  <m:r>
                    <m:t>V</m:t>
                  </m:r>
                </m:sub>
              </m:sSub>
              <m:r>
                <m:t>s</m:t>
              </m:r>
            </m:num>
            <m:den>
              <m:sSup>
                <m:e>
                  <m:r>
                    <m:t>C</m:t>
                  </m:r>
                </m:e>
                <m:sup>
                  <m:r>
                    <m:t>2</m:t>
                  </m:r>
                </m:sup>
              </m:sSup>
              <m:sSup>
                <m:e>
                  <m:r>
                    <m:t>R</m:t>
                  </m:r>
                </m:e>
                <m:sup>
                  <m:r>
                    <m:t>2</m:t>
                  </m:r>
                </m:sup>
              </m:sSup>
              <m:sSup>
                <m:e>
                  <m:r>
                    <m:t>s</m:t>
                  </m:r>
                </m:e>
                <m:sup>
                  <m:r>
                    <m:t>2</m:t>
                  </m:r>
                </m:sup>
              </m:sSup>
              <m:r>
                <m:rPr>
                  <m:sty m:val="p"/>
                </m:rPr>
                <m:t>+</m:t>
              </m:r>
              <m:r>
                <m:t>3</m:t>
              </m:r>
              <m:r>
                <m:t>C</m:t>
              </m:r>
              <m:r>
                <m:t>R</m:t>
              </m:r>
              <m:r>
                <m:t>s</m:t>
              </m:r>
              <m:r>
                <m:rPr>
                  <m:sty m:val="p"/>
                </m:rPr>
                <m:t>+</m:t>
              </m:r>
              <m:r>
                <m:t>1</m:t>
              </m:r>
            </m:den>
          </m:f>
          <m:r>
            <m:t>  </m:t>
          </m:r>
          <m:d>
            <m:dPr>
              <m:begChr m:val="("/>
              <m:endChr m:val=")"/>
              <m:sepChr m:val=""/>
              <m:grow/>
            </m:dPr>
            <m:e>
              <m:r>
                <m:t>6.10</m:t>
              </m:r>
            </m:e>
          </m:d>
        </m:oMath>
      </m:oMathPara>
      <w:bookmarkEnd w:id="392"/>
    </w:p>
    <w:bookmarkEnd w:id="393"/>
    <w:bookmarkStart w:id="394" w:name="sec-OscStableSignal"/>
    <w:p>
      <w:pPr>
        <w:pStyle w:val="Heading4"/>
      </w:pPr>
      <w:r>
        <w:t xml:space="preserve">6.2.2.3 Stabiles System</w:t>
      </w:r>
    </w:p>
    <w:p>
      <w:pPr>
        <w:pStyle w:val="FirstParagraph"/>
      </w:pPr>
      <w:r>
        <w:t xml:space="preserve">Die Verstärkung des gesamten Systems muss so gewählt werden, dass das System stabil ist. Das bedeutet, dass die Schwingung nicht abklingt und auch nicht aufschwingt. Die gesamtverstärkung von Schwingkreis und Verstärker muss an der Eigenfrequenz 1 sein. Das bedeutet, dass die Verstärkung des Verstärkers gleich der Dämpfung des Schwingkreises sein muss.</w:t>
      </w:r>
      <w:r>
        <w:br/>
      </w:r>
      <w:r>
        <w:t xml:space="preserve">Wie in Abschnitt</w:t>
      </w:r>
      <w:r>
        <w:t xml:space="preserve"> </w:t>
      </w:r>
      <w:hyperlink w:anchor="sec-OscGedämpftesSignal">
        <w:r>
          <w:rPr>
            <w:rStyle w:val="Hyperlink"/>
          </w:rPr>
          <w:t xml:space="preserve">Kapitel 6.2.2.4</w:t>
        </w:r>
      </w:hyperlink>
      <w:r>
        <w:t xml:space="preserve"> </w:t>
      </w:r>
      <w:r>
        <w:t xml:space="preserve">und</w:t>
      </w:r>
      <w:r>
        <w:t xml:space="preserve"> </w:t>
      </w:r>
      <w:hyperlink w:anchor="sec-OscInstabilesSystem">
        <w:r>
          <w:rPr>
            <w:rStyle w:val="Hyperlink"/>
          </w:rPr>
          <w:t xml:space="preserve">Kapitel 6.2.2.5</w:t>
        </w:r>
      </w:hyperlink>
      <w:r>
        <w:t xml:space="preserve"> </w:t>
      </w:r>
      <w:r>
        <w:t xml:space="preserve">gezeigt wurde, muss die Verstärkung</w:t>
      </w:r>
      <w:r>
        <w:t xml:space="preserve"> </w:t>
      </w:r>
      <w:r>
        <w:t xml:space="preserve">“</w:t>
      </w:r>
      <w:r>
        <w:t xml:space="preserve">richtig</w:t>
      </w:r>
      <w:r>
        <w:t xml:space="preserve">”</w:t>
      </w:r>
      <w:r>
        <w:t xml:space="preserve"> </w:t>
      </w:r>
      <w:r>
        <w:t xml:space="preserve">gewählt werden um sowohl ein Aufschwingen als auch ein Abklingen zu verhindern.</w:t>
      </w:r>
      <w:r>
        <w:br/>
      </w:r>
      <w:r>
        <w:t xml:space="preserve">Das Ausgangssignal des Schwingkreises ist um den Faktor 3 gedämpft. Dies lässt sich aus dem Bodediagramm</w:t>
      </w:r>
      <w:r>
        <w:t xml:space="preserve"> </w:t>
      </w:r>
      <w:hyperlink w:anchor="fig-ACBodeRCSchwingkreis">
        <w:r>
          <w:rPr>
            <w:rStyle w:val="Hyperlink"/>
          </w:rPr>
          <w:t xml:space="preserve">Abbildung 6.3</w:t>
        </w:r>
      </w:hyperlink>
      <w:r>
        <w:t xml:space="preserve"> </w:t>
      </w:r>
      <w:r>
        <w:t xml:space="preserve">oder aus der Formel ablesen. Damit ergibt sich die notwendige Verstärkung.</w:t>
      </w:r>
    </w:p>
    <w:p>
      <w:pPr>
        <w:pStyle w:val="BodyText"/>
      </w:pPr>
      <w:r>
        <w:t xml:space="preserve">Es ist zu erkennen, dass mit einem Verstärker as Verhältnis von Eingangssignal zu Ausgangssignal bei der Eigenfrequenz tatsächlich 1 ist,</w:t>
      </w:r>
      <w:r>
        <w:t xml:space="preserve"> </w:t>
      </w:r>
      <m:oMath>
        <m:r>
          <m:t>0</m:t>
        </m:r>
        <m:r>
          <m:t> </m:t>
        </m:r>
        <m:r>
          <m:rPr>
            <m:sty m:val="p"/>
          </m:rPr>
          <m:t>d</m:t>
        </m:r>
        <m:r>
          <m:rPr>
            <m:sty m:val="p"/>
          </m:rPr>
          <m:t>B</m:t>
        </m:r>
      </m:oMath>
      <w:r>
        <w:t xml:space="preserve">. Der Verstärker wurde richtig dimensioniert.</w:t>
      </w:r>
    </w:p>
    <w:bookmarkEnd w:id="394"/>
    <w:bookmarkStart w:id="395" w:name="sec-OscGedämpftesSignal"/>
    <w:p>
      <w:pPr>
        <w:pStyle w:val="Heading4"/>
      </w:pPr>
      <w:r>
        <w:t xml:space="preserve">6.2.2.4 Gedämpftes Signal</w:t>
      </w:r>
    </w:p>
    <w:p>
      <w:pPr>
        <w:pStyle w:val="FirstParagraph"/>
      </w:pPr>
      <w:r>
        <w:t xml:space="preserve">Wird kein Verstärker verwendet oder die Verstärkung ist zu klein, würde der Oszillator nicht von selbst starten. Wird die Schwingung zum Beispiel mit einem Puls gestartet würde die Schwingung abklingen. Das Signal wird kleiner. Die Schleifenverstärkung, Schwingkreis und Verstärker, muss so gewählt werden, dass die die Gesamtverstärkung an der Eigenfrequenz 1 ist. Das bedeutet, dass die Verstärkung des Verstärkers gleich der Dämpfung des Schwingkreises sein muss.</w:t>
      </w:r>
    </w:p>
    <w:bookmarkEnd w:id="395"/>
    <w:bookmarkStart w:id="396" w:name="sec-OscInstabilesSystem"/>
    <w:p>
      <w:pPr>
        <w:pStyle w:val="Heading4"/>
      </w:pPr>
      <w:r>
        <w:t xml:space="preserve">6.2.2.5 Instabiles System</w:t>
      </w:r>
    </w:p>
    <w:p>
      <w:pPr>
        <w:pStyle w:val="FirstParagraph"/>
      </w:pPr>
      <w:r>
        <w:t xml:space="preserve">Ist die Verstärkung zu groß schwingt das System auf. Das Signal wird größer und größer. Das System ist instabil. Das bedeutet, dass die Schleifenverstärkung, Schwingkreis und Verstärker, kleiner als 1 bei der Eigenfrequenz ist.</w:t>
      </w:r>
    </w:p>
    <w:bookmarkEnd w:id="396"/>
    <w:bookmarkStart w:id="398" w:name="closed-loop-betrachtung"/>
    <w:p>
      <w:pPr>
        <w:pStyle w:val="Heading4"/>
      </w:pPr>
      <w:r>
        <w:t xml:space="preserve">6.2.2.6 Closed Loop Betrachtung</w:t>
      </w:r>
    </w:p>
    <w:p>
      <w:pPr>
        <w:pStyle w:val="FirstParagraph"/>
      </w:pPr>
      <w:r>
        <w:t xml:space="preserve">Wird nun der Kreis geschlossen, siehe</w:t>
      </w:r>
      <w:r>
        <w:t xml:space="preserve"> </w:t>
      </w:r>
      <w:hyperlink w:anchor="fig-OscBlockschaltbildOszillator">
        <w:r>
          <w:rPr>
            <w:rStyle w:val="Hyperlink"/>
          </w:rPr>
          <w:t xml:space="preserve">Abbildung 6.1</w:t>
        </w:r>
      </w:hyperlink>
      <w:r>
        <w:t xml:space="preserve">, das Ausgangssignal wird am Eingang zurückgeführt, kann eine dauerhafte Schwingung aufrecht erhalten werden. Voraussetzung dafür ist, dass die Verstärkung des Verstärkers richtig gewählt wird.</w:t>
      </w:r>
    </w:p>
    <w:p>
      <w:pPr>
        <w:pStyle w:val="BodyText"/>
      </w:pPr>
      <w:bookmarkStart w:id="397" w:name="eq-Dummy"/>
      <m:oMathPara>
        <m:oMathParaPr>
          <m:jc m:val="center"/>
        </m:oMathParaPr>
        <m:oMath>
          <m:r>
            <m:t>G</m:t>
          </m:r>
          <m:r>
            <m:rPr>
              <m:sty m:val="p"/>
            </m:rPr>
            <m:t>=</m:t>
          </m:r>
          <m:f>
            <m:fPr>
              <m:type m:val="bar"/>
            </m:fPr>
            <m:num>
              <m:r>
                <m:t>H</m:t>
              </m:r>
            </m:num>
            <m:den>
              <m:r>
                <m:t>1</m:t>
              </m:r>
              <m:r>
                <m:rPr>
                  <m:sty m:val="p"/>
                </m:rPr>
                <m:t>−</m:t>
              </m:r>
              <m:r>
                <m:t>H</m:t>
              </m:r>
            </m:den>
          </m:f>
          <m:r>
            <m:t>  </m:t>
          </m:r>
          <m:d>
            <m:dPr>
              <m:begChr m:val="("/>
              <m:endChr m:val=")"/>
              <m:sepChr m:val=""/>
              <m:grow/>
            </m:dPr>
            <m:e>
              <m:r>
                <m:t>6.11</m:t>
              </m:r>
            </m:e>
          </m:d>
        </m:oMath>
      </m:oMathPara>
      <w:bookmarkEnd w:id="397"/>
    </w:p>
    <w:bookmarkEnd w:id="398"/>
    <w:bookmarkStart w:id="399" w:name="sec-OscAnschwingen"/>
    <w:p>
      <w:pPr>
        <w:pStyle w:val="Heading4"/>
      </w:pPr>
      <w:r>
        <w:t xml:space="preserve">6.2.2.7 Anschwingvorgang</w:t>
      </w:r>
    </w:p>
    <w:p>
      <w:pPr>
        <w:pStyle w:val="FirstParagraph"/>
      </w:pPr>
      <w:r>
        <w:t xml:space="preserve">Es braucht eine</w:t>
      </w:r>
      <w:r>
        <w:t xml:space="preserve"> </w:t>
      </w:r>
      <w:r>
        <w:t xml:space="preserve">“</w:t>
      </w:r>
      <w:r>
        <w:t xml:space="preserve">Störung</w:t>
      </w:r>
      <w:r>
        <w:t xml:space="preserve">”</w:t>
      </w:r>
      <w:r>
        <w:t xml:space="preserve"> </w:t>
      </w:r>
      <w:r>
        <w:t xml:space="preserve">um das System erstmalig in Schwingung zu versetzten. Dies kann Entweder durch anlegen eines kurzen Impulses geschehen oder in dem die Störungen im System verstärkt werden.</w:t>
      </w:r>
      <w:r>
        <w:br/>
      </w:r>
      <w:r>
        <w:t xml:space="preserve">Erstere Lösung würde einen zusätzlichen Aufwand bedeuten und nur funktionieren wenn das System stabil ist, das bedeutet, die Bauteile exakt eingestellt sind. Das ist alleine aufgrund der Temperaturabhängigkeit der Bauteile nicht möglich.</w:t>
      </w:r>
      <w:r>
        <w:br/>
      </w:r>
      <w:r>
        <w:t xml:space="preserve">Zweitere Lösung bedeutet, dass kleine Signale im System verstärkt werden bis es schwingt. Es muss also mit Absicht ein instabiles System erzeugt werden. Die Schwingung soll aber eine bestimmte Amplitude nicht überschreiten. Das würde wiederum ein stabiles System erfordern. Um dies zu erreichen benötigt es eine</w:t>
      </w:r>
      <w:r>
        <w:t xml:space="preserve"> </w:t>
      </w:r>
      <w:r>
        <w:rPr>
          <w:bCs/>
          <w:b/>
        </w:rPr>
        <w:t xml:space="preserve">Amplitudenregelung</w:t>
      </w:r>
      <w:r>
        <w:t xml:space="preserve">. Diese ist ohnehin notwendig um die Bauteiltoleranzen und Temperaturabhängigkeiten auszugleichen. Daher ist die zweite Lösung die praktikablere.</w:t>
      </w:r>
    </w:p>
    <w:bookmarkEnd w:id="399"/>
    <w:bookmarkEnd w:id="400"/>
    <w:bookmarkStart w:id="440" w:name="praktische-umsetzung"/>
    <w:p>
      <w:pPr>
        <w:pStyle w:val="Heading3"/>
      </w:pPr>
      <w:r>
        <w:t xml:space="preserve">6.2.3 Praktische Umsetzung</w:t>
      </w:r>
    </w:p>
    <w:p>
      <w:pPr>
        <w:pStyle w:val="FirstParagraph"/>
      </w:pPr>
      <w:r>
        <w:t xml:space="preserve">Nun soll das theoretische Wissen mit einer Konkreten Schaltung umgesetzt werden.</w:t>
      </w:r>
    </w:p>
    <w:bookmarkStart w:id="401" w:name="der-schwingkreis"/>
    <w:p>
      <w:pPr>
        <w:pStyle w:val="Heading4"/>
      </w:pPr>
      <w:r>
        <w:t xml:space="preserve">6.2.3.1 Der Schwingkreis</w:t>
      </w:r>
    </w:p>
    <w:p>
      <w:pPr>
        <w:pStyle w:val="FirstParagraph"/>
      </w:pPr>
      <w:r>
        <w:t xml:space="preserve">Der wurde bereits in</w:t>
      </w:r>
      <w:r>
        <w:t xml:space="preserve"> </w:t>
      </w:r>
      <w:hyperlink w:anchor="sec-OscSchwingkreis">
        <w:r>
          <w:rPr>
            <w:rStyle w:val="Hyperlink"/>
          </w:rPr>
          <w:t xml:space="preserve">Kapitel 6.2.1</w:t>
        </w:r>
      </w:hyperlink>
      <w:r>
        <w:t xml:space="preserve"> </w:t>
      </w:r>
      <w:r>
        <w:t xml:space="preserve">berechnet und überprüft. Es folgte die Erkenntnisse, dass die Amplitude bei der Eigenfrequenz um den Faktor 3 gedämpft ist. Daraus folgt der nächste Schritt. Die Dimensionierung eines Verstärkers um die Schleifenverstärkung auf 1 zu bringen.</w:t>
      </w:r>
    </w:p>
    <w:bookmarkEnd w:id="401"/>
    <w:bookmarkStart w:id="411" w:name="der-verstärker"/>
    <w:p>
      <w:pPr>
        <w:pStyle w:val="Heading4"/>
      </w:pPr>
      <w:r>
        <w:t xml:space="preserve">6.2.3.2 Der Verstärker</w:t>
      </w:r>
    </w:p>
    <w:p>
      <w:pPr>
        <w:pStyle w:val="FirstParagraph"/>
      </w:pPr>
      <w:r>
        <w:t xml:space="preserve">Die theoretischen Hintergründe wurden in</w:t>
      </w:r>
      <w:r>
        <w:t xml:space="preserve"> </w:t>
      </w:r>
      <w:hyperlink w:anchor="sec-OscRückkopplung">
        <w:r>
          <w:rPr>
            <w:rStyle w:val="Hyperlink"/>
          </w:rPr>
          <w:t xml:space="preserve">Kapitel 6.2.2</w:t>
        </w:r>
      </w:hyperlink>
      <w:r>
        <w:t xml:space="preserve"> </w:t>
      </w:r>
      <w:r>
        <w:t xml:space="preserve">behandelt. Da die Verstärkung größer als 1 sein muss, keine Phasendrehung gewünscht ist und eine hohe Eingangsimpedanz hilfreich ist, wird eine Nicht-Invertierende Operationsverstärkerschaltung verwendet.</w:t>
      </w:r>
    </w:p>
    <w:tbl>
      <w:tblPr>
        <w:tblStyle w:val="Table"/>
        <w:tblW w:type="pct" w:w="5000"/>
        <w:tblLook w:firstRow="0" w:lastRow="0" w:firstColumn="0" w:lastColumn="0" w:noHBand="0" w:noVBand="0" w:val="0000"/>
        <w:jc w:val="start"/>
        <w:tblLayout w:type="fixed"/>
      </w:tblPr>
      <w:tblGrid>
        <w:gridCol w:w="7920"/>
      </w:tblGrid>
      <w:tr>
        <w:tc>
          <w:tcPr/>
          <w:bookmarkStart w:id="405" w:name="fig-OscOpenLoopSchaltung"/>
          <w:p>
            <w:pPr>
              <w:pStyle w:val="Compact"/>
              <w:jc w:val="center"/>
            </w:pPr>
            <w:r>
              <w:drawing>
                <wp:inline>
                  <wp:extent cx="5334000" cy="3465364"/>
                  <wp:effectExtent b="0" l="0" r="0" t="0"/>
                  <wp:docPr descr="" title="" id="403" name="Picture"/>
                  <a:graphic>
                    <a:graphicData uri="http://schemas.openxmlformats.org/drawingml/2006/picture">
                      <pic:pic>
                        <pic:nvPicPr>
                          <pic:cNvPr descr="Projekte/Oszillator/OpenLoop.png" id="404" name="Picture"/>
                          <pic:cNvPicPr>
                            <a:picLocks noChangeArrowheads="1" noChangeAspect="1"/>
                          </pic:cNvPicPr>
                        </pic:nvPicPr>
                        <pic:blipFill>
                          <a:blip r:embed="rId402"/>
                          <a:stretch>
                            <a:fillRect/>
                          </a:stretch>
                        </pic:blipFill>
                        <pic:spPr bwMode="auto">
                          <a:xfrm>
                            <a:off x="0" y="0"/>
                            <a:ext cx="5334000" cy="346536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6.5: Open Loop Schaltung</w:t>
            </w:r>
          </w:p>
          <w:bookmarkEnd w:id="40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09" w:name="fig-OscOpenLoopSimulation"/>
          <w:p>
            <w:pPr>
              <w:pStyle w:val="Compact"/>
              <w:jc w:val="center"/>
            </w:pPr>
            <w:r>
              <w:drawing>
                <wp:inline>
                  <wp:extent cx="5334000" cy="3511874"/>
                  <wp:effectExtent b="0" l="0" r="0" t="0"/>
                  <wp:docPr descr="" title="" id="407" name="Picture"/>
                  <a:graphic>
                    <a:graphicData uri="http://schemas.openxmlformats.org/drawingml/2006/picture">
                      <pic:pic>
                        <pic:nvPicPr>
                          <pic:cNvPr descr="Projekte/Oszillator/RCOpenLoopBode.png" id="408" name="Picture"/>
                          <pic:cNvPicPr>
                            <a:picLocks noChangeArrowheads="1" noChangeAspect="1"/>
                          </pic:cNvPicPr>
                        </pic:nvPicPr>
                        <pic:blipFill>
                          <a:blip r:embed="rId406"/>
                          <a:stretch>
                            <a:fillRect/>
                          </a:stretch>
                        </pic:blipFill>
                        <pic:spPr bwMode="auto">
                          <a:xfrm>
                            <a:off x="0" y="0"/>
                            <a:ext cx="5334000" cy="351187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6.6: Open Loop AC Analysis</w:t>
            </w:r>
          </w:p>
          <w:bookmarkEnd w:id="40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0" w:name="tbl-OscACAnalysisOpenLoo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Wave Name</w:t>
                  </w:r>
                </w:p>
              </w:tc>
              <w:tc>
                <w:tcPr/>
                <w:p>
                  <w:pPr>
                    <w:pStyle w:val="Compact"/>
                    <w:jc w:val="left"/>
                    <w:jc w:val="center"/>
                  </w:pPr>
                  <w:r>
                    <w:t xml:space="preserve">X</w:t>
                  </w:r>
                </w:p>
              </w:tc>
              <w:tc>
                <w:tcPr/>
                <w:p>
                  <w:pPr>
                    <w:pStyle w:val="Compact"/>
                    <w:jc w:val="left"/>
                    <w:jc w:val="center"/>
                  </w:pPr>
                  <w:r>
                    <w:t xml:space="preserve">Y</w:t>
                  </w:r>
                </w:p>
              </w:tc>
            </w:tr>
            <w:tr>
              <w:tc>
                <w:tcPr/>
                <w:p>
                  <w:pPr>
                    <w:pStyle w:val="Compact"/>
                    <w:jc w:val="left"/>
                    <w:jc w:val="center"/>
                  </w:pPr>
                  <w:r>
                    <w:t xml:space="preserve">MAG(v(uout)/v(uin))</w:t>
                  </w:r>
                </w:p>
              </w:tc>
              <w:tc>
                <w:tcPr/>
                <w:p>
                  <w:pPr>
                    <w:pStyle w:val="Compact"/>
                    <w:jc w:val="left"/>
                    <w:jc w:val="center"/>
                  </w:pPr>
                  <w:r>
                    <w:t xml:space="preserve">1,5755 kHz</w:t>
                  </w:r>
                </w:p>
              </w:tc>
              <w:tc>
                <w:tcPr/>
                <w:p>
                  <w:pPr>
                    <w:pStyle w:val="Compact"/>
                    <w:jc w:val="left"/>
                    <w:jc w:val="center"/>
                  </w:pPr>
                  <w:r>
                    <w:t xml:space="preserve">999,69 m</w:t>
                  </w:r>
                </w:p>
              </w:tc>
            </w:tr>
            <w:tr>
              <w:tc>
                <w:tcPr/>
                <w:p>
                  <w:pPr>
                    <w:pStyle w:val="Compact"/>
                    <w:jc w:val="left"/>
                    <w:jc w:val="center"/>
                  </w:pPr>
                  <w:r>
                    <w:t xml:space="preserve">PHASE(v(uout)/v(uin))</w:t>
                  </w:r>
                </w:p>
              </w:tc>
              <w:tc>
                <w:tcPr/>
                <w:p>
                  <w:pPr>
                    <w:pStyle w:val="Compact"/>
                    <w:jc w:val="left"/>
                    <w:jc w:val="center"/>
                  </w:pPr>
                  <w:r>
                    <w:t xml:space="preserve">1,5755 kHz</w:t>
                  </w:r>
                </w:p>
              </w:tc>
              <w:tc>
                <w:tcPr/>
                <w:p>
                  <w:pPr>
                    <w:pStyle w:val="Compact"/>
                    <w:jc w:val="left"/>
                    <w:jc w:val="center"/>
                  </w:pPr>
                  <w:r>
                    <w:t xml:space="preserve">-8,8818 f°</w:t>
                  </w:r>
                </w:p>
              </w:tc>
            </w:tr>
          </w:tbl>
          <w:p>
            <w:pPr>
              <w:jc w:val="center"/>
            </w:pPr>
            <w:pPr>
              <w:jc w:val="start"/>
              <w:spacing w:before="200"/>
              <w:pStyle w:val="ImageCaption"/>
            </w:pPr>
            <w:r>
              <w:t xml:space="preserve">Tabelle 6.2: Simulations Ergebnisse für den Schwingkreis mit Verstärker an der Eigenfrequenz</w:t>
            </w:r>
            <w:r>
              <w:t xml:space="preserve"> </w:t>
            </w:r>
            <m:oMath>
              <m:sSub>
                <m:e>
                  <m:r>
                    <m:t>ω</m:t>
                  </m:r>
                </m:e>
                <m:sub>
                  <m:r>
                    <m:t>0</m:t>
                  </m:r>
                </m:sub>
              </m:sSub>
            </m:oMath>
            <w:r>
              <w:t xml:space="preserve">.</w:t>
            </w:r>
          </w:p>
          <w:bookmarkEnd w:id="410"/>
        </w:tc>
      </w:tr>
    </w:tbl>
    <w:p>
      <w:pPr>
        <w:pStyle w:val="BodyText"/>
      </w:pPr>
      <w:r>
        <w:t xml:space="preserve">Die Ergebnisse der Schaltung sind identisch mit den Berechnungen aus</w:t>
      </w:r>
      <w:r>
        <w:t xml:space="preserve"> </w:t>
      </w:r>
      <w:hyperlink w:anchor="sec-OscStableSignal">
        <w:r>
          <w:rPr>
            <w:rStyle w:val="Hyperlink"/>
          </w:rPr>
          <w:t xml:space="preserve">Kapitel 6.2.2.3</w:t>
        </w:r>
      </w:hyperlink>
      <w:r>
        <w:t xml:space="preserve">. Die Verstärkung ist 1 und die Phasenverschiebung ist 0 bei der Eigenfrequenz. Der Verstärker wurde richtig dimensioniert.</w:t>
      </w:r>
      <w:r>
        <w:br/>
      </w:r>
      <w:r>
        <w:t xml:space="preserve">Die Eigenfrequenz hat sich jedoch leicht verschoben. Dies ließe sich durch anpassen der Bauteile im Schwingkreis korrigieren, soll an dieser Stelle aber vernachlässigt werden.</w:t>
      </w:r>
    </w:p>
    <w:bookmarkEnd w:id="411"/>
    <w:bookmarkStart w:id="424" w:name="closed-loop-schaltung"/>
    <w:p>
      <w:pPr>
        <w:pStyle w:val="Heading4"/>
      </w:pPr>
      <w:r>
        <w:t xml:space="preserve">6.2.3.3 Closed Loop Schaltung</w:t>
      </w:r>
    </w:p>
    <w:p>
      <w:pPr>
        <w:pStyle w:val="FirstParagraph"/>
      </w:pPr>
      <w:r>
        <w:t xml:space="preserve">Die Schaltung wird nun geschlossen. Das Ausgangssignal wird am Eingang zurückgeführt. Damit ist eine dauerhafte Schwingung möglich. Es gilt die Stabilität zu überprüfen. Dies lässt sich gut mit einer Transienten Simulation zeigen.</w:t>
      </w:r>
    </w:p>
    <w:tbl>
      <w:tblPr>
        <w:tblStyle w:val="Table"/>
        <w:tblW w:type="pct" w:w="5000"/>
        <w:tblLook w:firstRow="0" w:lastRow="0" w:firstColumn="0" w:lastColumn="0" w:noHBand="0" w:noVBand="0" w:val="0000"/>
        <w:jc w:val="start"/>
        <w:tblLayout w:type="fixed"/>
      </w:tblPr>
      <w:tblGrid>
        <w:gridCol w:w="7920"/>
      </w:tblGrid>
      <w:tr>
        <w:tc>
          <w:tcPr/>
          <w:bookmarkStart w:id="415" w:name="fig-OscClosedLoopSchaltung"/>
          <w:p>
            <w:pPr>
              <w:pStyle w:val="Compact"/>
              <w:jc w:val="center"/>
            </w:pPr>
            <w:r>
              <w:drawing>
                <wp:inline>
                  <wp:extent cx="5334000" cy="3415413"/>
                  <wp:effectExtent b="0" l="0" r="0" t="0"/>
                  <wp:docPr descr="" title="" id="413" name="Picture"/>
                  <a:graphic>
                    <a:graphicData uri="http://schemas.openxmlformats.org/drawingml/2006/picture">
                      <pic:pic>
                        <pic:nvPicPr>
                          <pic:cNvPr descr="Projekte/Oszillator/ClosedLoop.png" id="414" name="Picture"/>
                          <pic:cNvPicPr>
                            <a:picLocks noChangeArrowheads="1" noChangeAspect="1"/>
                          </pic:cNvPicPr>
                        </pic:nvPicPr>
                        <pic:blipFill>
                          <a:blip r:embed="rId412"/>
                          <a:stretch>
                            <a:fillRect/>
                          </a:stretch>
                        </pic:blipFill>
                        <pic:spPr bwMode="auto">
                          <a:xfrm>
                            <a:off x="0" y="0"/>
                            <a:ext cx="5334000" cy="3415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6.7: Closed Loop Schaltung</w:t>
            </w:r>
          </w:p>
          <w:bookmarkEnd w:id="41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9" w:name="fig-OscClosedLoopSimulationStable"/>
          <w:p>
            <w:pPr>
              <w:pStyle w:val="Compact"/>
              <w:jc w:val="center"/>
            </w:pPr>
            <w:r>
              <w:drawing>
                <wp:inline>
                  <wp:extent cx="5334000" cy="3547042"/>
                  <wp:effectExtent b="0" l="0" r="0" t="0"/>
                  <wp:docPr descr="" title="" id="417" name="Picture"/>
                  <a:graphic>
                    <a:graphicData uri="http://schemas.openxmlformats.org/drawingml/2006/picture">
                      <pic:pic>
                        <pic:nvPicPr>
                          <pic:cNvPr descr="Projekte/Oszillator/RCClosedLoopTransStable.png" id="418" name="Picture"/>
                          <pic:cNvPicPr>
                            <a:picLocks noChangeArrowheads="1" noChangeAspect="1"/>
                          </pic:cNvPicPr>
                        </pic:nvPicPr>
                        <pic:blipFill>
                          <a:blip r:embed="rId416"/>
                          <a:stretch>
                            <a:fillRect/>
                          </a:stretch>
                        </pic:blipFill>
                        <pic:spPr bwMode="auto">
                          <a:xfrm>
                            <a:off x="0" y="0"/>
                            <a:ext cx="5334000" cy="354704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6.8: Closed Loop Transienten Analyse im Stabilen Zustand</w:t>
            </w:r>
            <w:r>
              <w:t xml:space="preserve"> </w:t>
            </w:r>
            <m:oMath>
              <m:sSub>
                <m:e>
                  <m:r>
                    <m:t>R</m:t>
                  </m:r>
                </m:e>
                <m:sub>
                  <m:r>
                    <m:t>v</m:t>
                  </m:r>
                  <m:r>
                    <m:t>2</m:t>
                  </m:r>
                </m:sub>
              </m:sSub>
              <m:r>
                <m:rPr>
                  <m:sty m:val="p"/>
                </m:rPr>
                <m:t>=</m:t>
              </m:r>
              <m:r>
                <m:t>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19"/>
        </w:tc>
      </w:tr>
    </w:tbl>
    <w:p>
      <w:pPr>
        <w:pStyle w:val="BodyText"/>
      </w:pPr>
      <w:r>
        <w:t xml:space="preserve">In</w:t>
      </w:r>
      <w:r>
        <w:t xml:space="preserve"> </w:t>
      </w:r>
      <w:hyperlink w:anchor="fig-OscClosedLoopSimulationStable">
        <w:r>
          <w:rPr>
            <w:rStyle w:val="Hyperlink"/>
          </w:rPr>
          <w:t xml:space="preserve">Abbildung 6.8</w:t>
        </w:r>
      </w:hyperlink>
      <w:r>
        <w:t xml:space="preserve"> </w:t>
      </w:r>
      <w:r>
        <w:t xml:space="preserve">ist zu erkennen, dass im stabilen Zustand das System nicht zu schwingen beginnt. Wie in</w:t>
      </w:r>
      <w:r>
        <w:t xml:space="preserve"> </w:t>
      </w:r>
      <w:hyperlink w:anchor="sec-OscAnschwingen">
        <w:r>
          <w:rPr>
            <w:rStyle w:val="Hyperlink"/>
          </w:rPr>
          <w:t xml:space="preserve">Kapitel 6.2.2.7</w:t>
        </w:r>
      </w:hyperlink>
      <w:r>
        <w:t xml:space="preserve"> </w:t>
      </w:r>
      <w:r>
        <w:t xml:space="preserve">beschrieben benötigt es eine Störung um das System in Schwingung zu versetzen. Alternativ dazu kann das System Instabil gemacht werden in dem die Verstärkung erhöht wird. Dann werden kleinste Störungen in der Schaltung, welche es immer gibt, verstärkt und das System schwingt</w:t>
      </w:r>
      <w:r>
        <w:t xml:space="preserve"> </w:t>
      </w:r>
      <w:hyperlink w:anchor="fig-OscClosedLoopSimulationInstable">
        <w:r>
          <w:rPr>
            <w:rStyle w:val="Hyperlink"/>
          </w:rPr>
          <w:t xml:space="preserve">Abbildung 6.9</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23" w:name="fig-OscClosedLoopSimulationInstable"/>
          <w:p>
            <w:pPr>
              <w:pStyle w:val="Compact"/>
              <w:jc w:val="center"/>
            </w:pPr>
            <w:r>
              <w:drawing>
                <wp:inline>
                  <wp:extent cx="5334000" cy="3107330"/>
                  <wp:effectExtent b="0" l="0" r="0" t="0"/>
                  <wp:docPr descr="" title="" id="421" name="Picture"/>
                  <a:graphic>
                    <a:graphicData uri="http://schemas.openxmlformats.org/drawingml/2006/picture">
                      <pic:pic>
                        <pic:nvPicPr>
                          <pic:cNvPr descr="Projekte/Oszillator/RCClosedLoopTransInst.png" id="422" name="Picture"/>
                          <pic:cNvPicPr>
                            <a:picLocks noChangeArrowheads="1" noChangeAspect="1"/>
                          </pic:cNvPicPr>
                        </pic:nvPicPr>
                        <pic:blipFill>
                          <a:blip r:embed="rId420"/>
                          <a:stretch>
                            <a:fillRect/>
                          </a:stretch>
                        </pic:blipFill>
                        <pic:spPr bwMode="auto">
                          <a:xfrm>
                            <a:off x="0" y="0"/>
                            <a:ext cx="5334000" cy="310733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6.9: Closed Loop Transienten Analyse im Instabilen Zustand</w:t>
            </w:r>
            <w:r>
              <w:t xml:space="preserve"> </w:t>
            </w:r>
            <m:oMath>
              <m:sSub>
                <m:e>
                  <m:r>
                    <m:t>R</m:t>
                  </m:r>
                </m:e>
                <m:sub>
                  <m:r>
                    <m:t>v</m:t>
                  </m:r>
                  <m:r>
                    <m:t>2</m:t>
                  </m:r>
                </m:sub>
              </m:sSub>
              <m:r>
                <m:rPr>
                  <m:sty m:val="p"/>
                </m:rPr>
                <m:t>=</m:t>
              </m:r>
              <m:r>
                <m:t>2.2</m:t>
              </m:r>
              <m:r>
                <m:t> </m:t>
              </m:r>
              <m:r>
                <m:rPr>
                  <m:sty m:val="p"/>
                </m:rPr>
                <m:t>k</m:t>
              </m:r>
              <m:r>
                <m:rPr>
                  <m:sty m:val="p"/>
                </m:rPr>
                <m:t>Ω</m:t>
              </m:r>
              <m:r>
                <m:t> </m:t>
              </m:r>
              <m:sSub>
                <m:e>
                  <m:r>
                    <m:t>R</m:t>
                  </m:r>
                </m:e>
                <m:sub>
                  <m:r>
                    <m:t>v</m:t>
                  </m:r>
                  <m:r>
                    <m:t>1</m:t>
                  </m:r>
                </m:sub>
              </m:sSub>
              <m:r>
                <m:rPr>
                  <m:sty m:val="p"/>
                </m:rPr>
                <m:t>=</m:t>
              </m:r>
              <m:r>
                <m:t>1</m:t>
              </m:r>
              <m:r>
                <m:t> </m:t>
              </m:r>
              <m:r>
                <m:rPr>
                  <m:sty m:val="p"/>
                </m:rPr>
                <m:t>k</m:t>
              </m:r>
              <m:r>
                <m:rPr>
                  <m:sty m:val="p"/>
                </m:rPr>
                <m:t>Ω</m:t>
              </m:r>
            </m:oMath>
          </w:p>
          <w:bookmarkEnd w:id="423"/>
        </w:tc>
      </w:tr>
    </w:tbl>
    <w:p>
      <w:pPr>
        <w:pStyle w:val="BodyText"/>
      </w:pPr>
      <w:r>
        <w:t xml:space="preserve">Der Nachteil des Instabilen Systems ist es, dass die Schwingung immer größer wird. Das System wird übersteuert und dadurch stark verzerrt. Daher muss die Verstärkung so gewählt werden, dass das System stabil ist. Das bedeutet, dass die Schleifenverstärkung, Schwingkreis und Verstärker, an der Eigenfrequenz 1 ist. Das System schwingt dann mit einer konstanten Amplitude</w:t>
      </w:r>
    </w:p>
    <w:p>
      <w:pPr>
        <w:pStyle w:val="BodyText"/>
      </w:pPr>
      <w:r>
        <w:t xml:space="preserve">Daraus folgt, dass es einen Verstärker bedarf der seine Verstärkung ändern kann. Das ist eine</w:t>
      </w:r>
      <w:r>
        <w:t xml:space="preserve"> </w:t>
      </w:r>
      <w:r>
        <w:rPr>
          <w:bCs/>
          <w:b/>
        </w:rPr>
        <w:t xml:space="preserve">Amplitudenregelung</w:t>
      </w:r>
      <w:r>
        <w:t xml:space="preserve">. Diese ist ohnehin notwendig um die Bauteiltoleranzen und Temperaturabhängigkeiten auszugleichen.</w:t>
      </w:r>
    </w:p>
    <w:bookmarkEnd w:id="424"/>
    <w:bookmarkStart w:id="425" w:name="amplitudenregelung"/>
    <w:p>
      <w:pPr>
        <w:pStyle w:val="Heading4"/>
      </w:pPr>
      <w:r>
        <w:t xml:space="preserve">6.2.3.4 Amplitudenregelung</w:t>
      </w:r>
    </w:p>
    <w:p>
      <w:pPr>
        <w:pStyle w:val="FirstParagraph"/>
      </w:pPr>
      <w:r>
        <w:t xml:space="preserve">In der obigen, theoretische Erklärung, wird angenommen, dass die Verstärkung exakt eingestellt werden kann. In der Praxis ist das aufgrund der Bauteiltoleranzen und der Temperaturabhängigkeit der Bauteile nicht möglich. Es wird daher unweigerlich zu einer gedämpften oder instabilen Schwingung kommen.</w:t>
      </w:r>
      <w:r>
        <w:br/>
      </w:r>
      <w:r>
        <w:t xml:space="preserve">Es braucht daher eine Amplitudenregelung. Damit kann auch das Anschwingen realisiert werden, siehe</w:t>
      </w:r>
      <w:r>
        <w:t xml:space="preserve"> </w:t>
      </w:r>
      <w:hyperlink w:anchor="sec-OscAnschwingen">
        <w:r>
          <w:rPr>
            <w:rStyle w:val="Hyperlink"/>
          </w:rPr>
          <w:t xml:space="preserve">Kapitel 6.2.2.7</w:t>
        </w:r>
      </w:hyperlink>
      <w:r>
        <w:t xml:space="preserve">.</w:t>
      </w:r>
      <w:r>
        <w:br/>
      </w:r>
      <w:r>
        <w:t xml:space="preserve">Es braucht also einen einstellbaren Verstärker. Das lässt sich realisieren indem einer der beiden Widerstände veränderbar gemacht wird. Da sich die Amplitude jedoch selbst regeln muss, und nicht von Hand nachgestellt werden soll und kann, wird eine elektronisch veränderbarer Widerstand benötigt.</w:t>
      </w:r>
    </w:p>
    <w:bookmarkEnd w:id="425"/>
    <w:bookmarkStart w:id="434" w:name="X5b817ff26e6523861840f062942e11248526b2d"/>
    <w:p>
      <w:pPr>
        <w:pStyle w:val="Heading4"/>
      </w:pPr>
      <w:r>
        <w:t xml:space="preserve">6.2.3.5 Elektronisch veränderbarer Widerstand - VCR</w:t>
      </w:r>
    </w:p>
    <w:p>
      <w:pPr>
        <w:pStyle w:val="FirstParagraph"/>
      </w:pPr>
      <w:r>
        <w:t xml:space="preserve">Ein elektronisch veränderbarer Widerstand, englisch Voltage Controlled Resistor, kurz VCR, ist ein Widerstand, dessen Widerstandswert durch eine Spannung verändert werden kann. Eine einfache Bauform lässt sich mit einem JFET realisieren. Der Widerstandswert eines JFETs ist proportional zur Gate-Source Spannung.</w:t>
      </w:r>
      <w:r>
        <w:br/>
      </w:r>
      <w:r>
        <w:t xml:space="preserve">Folgende Überlegungen sind anzustellen.</w:t>
      </w:r>
      <w:r>
        <w:t xml:space="preserve"> </w:t>
      </w:r>
      <w:r>
        <w:t xml:space="preserve">* Wird besser der Widerstand</w:t>
      </w:r>
      <w:r>
        <w:t xml:space="preserve"> </w:t>
      </w:r>
      <m:oMath>
        <m:sSub>
          <m:e>
            <m:r>
              <m:t>R</m:t>
            </m:r>
          </m:e>
          <m:sub>
            <m:r>
              <m:t>v</m:t>
            </m:r>
            <m:r>
              <m:t>1</m:t>
            </m:r>
          </m:sub>
        </m:sSub>
      </m:oMath>
      <w:r>
        <w:t xml:space="preserve"> </w:t>
      </w:r>
      <w:r>
        <w:t xml:space="preserve">oder</w:t>
      </w:r>
      <w:r>
        <w:t xml:space="preserve"> </w:t>
      </w:r>
      <m:oMath>
        <m:sSub>
          <m:e>
            <m:r>
              <m:t>R</m:t>
            </m:r>
          </m:e>
          <m:sub>
            <m:r>
              <m:t>v</m:t>
            </m:r>
            <m:r>
              <m:t>2</m:t>
            </m:r>
          </m:sub>
        </m:sSub>
      </m:oMath>
      <w:r>
        <w:t xml:space="preserve"> </w:t>
      </w:r>
      <w:r>
        <w:t xml:space="preserve">verändert?</w:t>
      </w:r>
      <w:r>
        <w:t xml:space="preserve"> </w:t>
      </w:r>
      <w:r>
        <w:t xml:space="preserve">* Welcher JFET Typ ist geeignet? N-Kanal oder P-Kanal?</w:t>
      </w:r>
    </w:p>
    <w:p>
      <w:pPr>
        <w:pStyle w:val="BodyText"/>
      </w:pPr>
      <w:r>
        <w:t xml:space="preserve">Der Regler soll die Verstärkung kleiner machen wenn die Amplitude der Ausgangsspannung zu groß wird und die Verstärkung erhöhen wenn die Amplitude der Ausgangsspannung zu klein ist. Es ist also ein indirekt-proportionaler Zusammenhang zwischen der Amplitude und der Verstärkung. Daraus folgt, dass der Widerstand</w:t>
      </w:r>
      <w:r>
        <w:t xml:space="preserve"> </w:t>
      </w:r>
      <m:oMath>
        <m:sSub>
          <m:e>
            <m:r>
              <m:t>R</m:t>
            </m:r>
          </m:e>
          <m:sub>
            <m:r>
              <m:t>v</m:t>
            </m:r>
            <m:r>
              <m:t>1</m:t>
            </m:r>
          </m:sub>
        </m:sSub>
      </m:oMath>
      <w:r>
        <w:t xml:space="preserve"> </w:t>
      </w:r>
      <w:r>
        <w:t xml:space="preserve">verändert werden soll, da er in der Formel für die Verstärkung im Nenner steht.</w:t>
      </w:r>
    </w:p>
    <w:p>
      <w:pPr>
        <w:pStyle w:val="BodyText"/>
      </w:pPr>
      <m:oMathPara>
        <m:oMathParaPr>
          <m:jc m:val="center"/>
        </m:oMathParaPr>
        <m:oMath>
          <m:r>
            <m:t>V</m:t>
          </m:r>
          <m:r>
            <m:rPr>
              <m:sty m:val="p"/>
            </m:rPr>
            <m:t>=</m:t>
          </m:r>
          <m:r>
            <m:t>1</m:t>
          </m:r>
          <m:r>
            <m:rPr>
              <m:sty m:val="p"/>
            </m:rPr>
            <m:t>+</m:t>
          </m:r>
          <m:f>
            <m:fPr>
              <m:type m:val="bar"/>
            </m:fPr>
            <m:num>
              <m:sSub>
                <m:e>
                  <m:r>
                    <m:t>R</m:t>
                  </m:r>
                </m:e>
                <m:sub>
                  <m:r>
                    <m:t>v</m:t>
                  </m:r>
                  <m:r>
                    <m:t>2</m:t>
                  </m:r>
                </m:sub>
              </m:sSub>
            </m:num>
            <m:den>
              <m:sSub>
                <m:e>
                  <m:r>
                    <m:t>R</m:t>
                  </m:r>
                </m:e>
                <m:sub>
                  <m:r>
                    <m:t>v</m:t>
                  </m:r>
                  <m:r>
                    <m:t>1</m:t>
                  </m:r>
                </m:sub>
              </m:sSub>
            </m:den>
          </m:f>
        </m:oMath>
      </m:oMathPara>
    </w:p>
    <w:p>
      <w:pPr>
        <w:pStyle w:val="FirstParagraph"/>
      </w:pPr>
      <w:r>
        <w:t xml:space="preserve">Da das Ausgangssignal des Oszillators eine Sinuswelle ist, ist der JFET Typ egal. Es kann sowohl ein N-Kanal als auch ein P-Kanal JFET verwendet werden. Da sich sowohl die negative Steuerspannung für den N-Kanal JFET als auch die positive Steuerspannung für den P-Kanal JFET mit einem einfachen Gleichrichter realisieren lässt. Um die Bauteile der Amplitudenregelung bestimmen zu können, muss der Arbeitspunkt des VCR’s bestimmt werden. Dazu wird eine DC-Sweep Analyse durchgeführt. Die Widerstände</w:t>
      </w:r>
      <w:r>
        <w:t xml:space="preserve"> </w:t>
      </w:r>
      <m:oMath>
        <m:sSub>
          <m:e>
            <m:r>
              <m:t>R</m:t>
            </m:r>
          </m:e>
          <m:sub>
            <m:r>
              <m:t>s</m:t>
            </m:r>
            <m:r>
              <m:t>t</m:t>
            </m:r>
            <m:r>
              <m:t>a</m:t>
            </m:r>
            <m:r>
              <m:t>b</m:t>
            </m:r>
            <m:r>
              <m:t>3</m:t>
            </m:r>
          </m:sub>
        </m:sSub>
      </m:oMath>
      <w:r>
        <w:t xml:space="preserve"> </w:t>
      </w:r>
      <w:r>
        <w:t xml:space="preserve">und</w:t>
      </w:r>
      <w:r>
        <w:t xml:space="preserve"> </w:t>
      </w:r>
      <m:oMath>
        <m:sSub>
          <m:e>
            <m:r>
              <m:t>R</m:t>
            </m:r>
          </m:e>
          <m:sub>
            <m:r>
              <m:t>s</m:t>
            </m:r>
            <m:r>
              <m:t>t</m:t>
            </m:r>
            <m:r>
              <m:t>a</m:t>
            </m:r>
            <m:r>
              <m:t>b</m:t>
            </m:r>
            <m:r>
              <m:t>4</m:t>
            </m:r>
          </m:sub>
        </m:sSub>
      </m:oMath>
      <w:r>
        <w:t xml:space="preserve"> </w:t>
      </w:r>
      <w:r>
        <w:t xml:space="preserve">dienen der Linearisierung des JFETs. Der Widerstand</w:t>
      </w:r>
      <w:r>
        <w:t xml:space="preserve"> </w:t>
      </w:r>
      <m:oMath>
        <m:sSub>
          <m:e>
            <m:r>
              <m:t>R</m:t>
            </m:r>
          </m:e>
          <m:sub>
            <m:r>
              <m:t>s</m:t>
            </m:r>
            <m:r>
              <m:t>2</m:t>
            </m:r>
          </m:sub>
        </m:sSub>
      </m:oMath>
      <w:r>
        <w:t xml:space="preserve"> </w:t>
      </w:r>
      <w:r>
        <w:t xml:space="preserve">dient als Shuntwiderstand zur Messung des Stromes.</w:t>
      </w:r>
    </w:p>
    <w:tbl>
      <w:tblPr>
        <w:tblStyle w:val="Table"/>
        <w:tblW w:type="pct" w:w="5000"/>
        <w:tblLook w:firstRow="0" w:lastRow="0" w:firstColumn="0" w:lastColumn="0" w:noHBand="0" w:noVBand="0" w:val="0000"/>
        <w:jc w:val="start"/>
        <w:tblLayout w:type="fixed"/>
      </w:tblPr>
      <w:tblGrid>
        <w:gridCol w:w="7920"/>
      </w:tblGrid>
      <w:tr>
        <w:tc>
          <w:tcPr/>
          <w:bookmarkStart w:id="429" w:name="fig-OscVCR"/>
          <w:p>
            <w:pPr>
              <w:pStyle w:val="Compact"/>
              <w:jc w:val="center"/>
            </w:pPr>
            <w:r>
              <w:drawing>
                <wp:inline>
                  <wp:extent cx="5334000" cy="5105166"/>
                  <wp:effectExtent b="0" l="0" r="0" t="0"/>
                  <wp:docPr descr="" title="" id="427" name="Picture"/>
                  <a:graphic>
                    <a:graphicData uri="http://schemas.openxmlformats.org/drawingml/2006/picture">
                      <pic:pic>
                        <pic:nvPicPr>
                          <pic:cNvPr descr="Projekte/Oszillator/PKanalVCR.png" id="428" name="Picture"/>
                          <pic:cNvPicPr>
                            <a:picLocks noChangeArrowheads="1" noChangeAspect="1"/>
                          </pic:cNvPicPr>
                        </pic:nvPicPr>
                        <pic:blipFill>
                          <a:blip r:embed="rId426"/>
                          <a:stretch>
                            <a:fillRect/>
                          </a:stretch>
                        </pic:blipFill>
                        <pic:spPr bwMode="auto">
                          <a:xfrm>
                            <a:off x="0" y="0"/>
                            <a:ext cx="5334000" cy="510516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6.10: VCR</w:t>
            </w:r>
          </w:p>
          <w:bookmarkEnd w:id="42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33" w:name="fig-OscVCRDCSweep"/>
          <w:p>
            <w:pPr>
              <w:pStyle w:val="Compact"/>
              <w:jc w:val="center"/>
            </w:pPr>
            <w:r>
              <w:drawing>
                <wp:inline>
                  <wp:extent cx="5334000" cy="3181684"/>
                  <wp:effectExtent b="0" l="0" r="0" t="0"/>
                  <wp:docPr descr="" title="" id="431" name="Picture"/>
                  <a:graphic>
                    <a:graphicData uri="http://schemas.openxmlformats.org/drawingml/2006/picture">
                      <pic:pic>
                        <pic:nvPicPr>
                          <pic:cNvPr descr="Projekte/Oszillator/VCRDCSweep.png" id="432" name="Picture"/>
                          <pic:cNvPicPr>
                            <a:picLocks noChangeArrowheads="1" noChangeAspect="1"/>
                          </pic:cNvPicPr>
                        </pic:nvPicPr>
                        <pic:blipFill>
                          <a:blip r:embed="rId430"/>
                          <a:stretch>
                            <a:fillRect/>
                          </a:stretch>
                        </pic:blipFill>
                        <pic:spPr bwMode="auto">
                          <a:xfrm>
                            <a:off x="0" y="0"/>
                            <a:ext cx="5334000" cy="318168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6.11: VCR DC-Sweep</w:t>
            </w:r>
          </w:p>
          <w:bookmarkEnd w:id="433"/>
        </w:tc>
      </w:tr>
    </w:tbl>
    <w:p>
      <w:pPr>
        <w:pStyle w:val="BodyText"/>
      </w:pPr>
      <w:r>
        <w:t xml:space="preserve">Der Arbeitspunkt muss möglichst mittig in einem linearen Teilstück des JFET liegen. Eine Steuerspannung zwischen 3 und 5 Volt ist ideal. Um diese Spannung</w:t>
      </w:r>
      <w:r>
        <w:t xml:space="preserve"> </w:t>
      </w:r>
      <m:oMath>
        <m:sSub>
          <m:e>
            <m:r>
              <m:t>U</m:t>
            </m:r>
          </m:e>
          <m:sub>
            <m:r>
              <m:t>s</m:t>
            </m:r>
            <m:r>
              <m:t>t</m:t>
            </m:r>
          </m:sub>
        </m:sSub>
      </m:oMath>
      <w:r>
        <w:t xml:space="preserve"> </w:t>
      </w:r>
      <w:r>
        <w:t xml:space="preserve">aus dem Ausgangssignal</w:t>
      </w:r>
      <w:r>
        <w:t xml:space="preserve"> </w:t>
      </w:r>
      <m:oMath>
        <m:sSub>
          <m:e>
            <m:r>
              <m:t>U</m:t>
            </m:r>
          </m:e>
          <m:sub>
            <m:r>
              <m:t>o</m:t>
            </m:r>
            <m:r>
              <m:t>u</m:t>
            </m:r>
            <m:r>
              <m:t>t</m:t>
            </m:r>
          </m:sub>
        </m:sSub>
      </m:oMath>
      <w:r>
        <w:t xml:space="preserve"> </w:t>
      </w:r>
      <w:r>
        <w:t xml:space="preserve">zu gewinnen, wird ein Spannungsteiler, realisiert mit einem Potentiometer, und ein Einweggleichrichter verwendet.</w:t>
      </w:r>
      <w:r>
        <w:br/>
      </w:r>
      <w:r>
        <w:t xml:space="preserve">Der Widerstandswert des JFETs zwischen Drain und Source ist dann ca.</w:t>
      </w:r>
      <w:r>
        <w:t xml:space="preserve"> </w:t>
      </w:r>
      <m:oMath>
        <m:sSub>
          <m:e>
            <m:r>
              <m:t>r</m:t>
            </m:r>
          </m:e>
          <m:sub>
            <m:r>
              <m:t>D</m:t>
            </m:r>
            <m:r>
              <m:t>S</m:t>
            </m:r>
          </m:sub>
        </m:sSub>
        <m:r>
          <m:rPr>
            <m:sty m:val="p"/>
          </m:rPr>
          <m:t>=</m:t>
        </m:r>
        <m:r>
          <m:t>200</m:t>
        </m:r>
        <m:r>
          <m:t> </m:t>
        </m:r>
        <m:r>
          <m:t>Ω</m:t>
        </m:r>
      </m:oMath>
      <w:r>
        <w:t xml:space="preserve">. Dieser Wert wird nun vom oben eingebauten</w:t>
      </w:r>
      <w:r>
        <w:t xml:space="preserve"> </w:t>
      </w:r>
      <m:oMath>
        <m:sSub>
          <m:e>
            <m:r>
              <m:t>R</m:t>
            </m:r>
          </m:e>
          <m:sub>
            <m:r>
              <m:t>v</m:t>
            </m:r>
            <m:r>
              <m:t>1</m:t>
            </m:r>
          </m:sub>
        </m:sSub>
      </m:oMath>
      <w:r>
        <w:t xml:space="preserve"> </w:t>
      </w:r>
      <w:r>
        <w:t xml:space="preserve">abgezogen. Der neue Widerstand</w:t>
      </w:r>
      <w:r>
        <w:t xml:space="preserve"> </w:t>
      </w:r>
      <m:oMath>
        <m:sSub>
          <m:e>
            <m:r>
              <m:t>R</m:t>
            </m:r>
          </m:e>
          <m:sub>
            <m:r>
              <m:t>v</m:t>
            </m:r>
            <m:r>
              <m:t>11</m:t>
            </m:r>
          </m:sub>
        </m:sSub>
      </m:oMath>
      <w:r>
        <w:t xml:space="preserve"> </w:t>
      </w:r>
      <w:r>
        <w:t xml:space="preserve">wird also so dimensioniert, dass der Widerstand der Drain-Source Strecke und des Widerstandes</w:t>
      </w:r>
      <w:r>
        <w:t xml:space="preserve"> </w:t>
      </w:r>
      <m:oMath>
        <m:sSub>
          <m:e>
            <m:r>
              <m:t>R</m:t>
            </m:r>
          </m:e>
          <m:sub>
            <m:r>
              <m:t>v</m:t>
            </m:r>
            <m:r>
              <m:t>11</m:t>
            </m:r>
          </m:sub>
        </m:sSub>
      </m:oMath>
      <w:r>
        <w:t xml:space="preserve"> </w:t>
      </w:r>
      <w:r>
        <w:t xml:space="preserve">zusammen den Widerstandswert von</w:t>
      </w:r>
      <w:r>
        <w:t xml:space="preserve"> </w:t>
      </w:r>
      <m:oMath>
        <m:sSub>
          <m:e>
            <m:r>
              <m:t>R</m:t>
            </m:r>
          </m:e>
          <m:sub>
            <m:r>
              <m:t>v</m:t>
            </m:r>
            <m:r>
              <m:t>1</m:t>
            </m:r>
          </m:sub>
        </m:sSub>
      </m:oMath>
      <w:r>
        <w:t xml:space="preserve"> </w:t>
      </w:r>
      <w:r>
        <w:t xml:space="preserve">ergeben.</w:t>
      </w:r>
    </w:p>
    <w:bookmarkEnd w:id="434"/>
    <w:bookmarkStart w:id="439" w:name="die-oszillatorschaltung"/>
    <w:p>
      <w:pPr>
        <w:pStyle w:val="Heading4"/>
      </w:pPr>
      <w:r>
        <w:t xml:space="preserve">6.2.3.6 Die Oszillatorschaltung</w:t>
      </w:r>
    </w:p>
    <w:tbl>
      <w:tblPr>
        <w:tblStyle w:val="Table"/>
        <w:tblW w:type="pct" w:w="5000"/>
        <w:tblLook w:firstRow="0" w:lastRow="0" w:firstColumn="0" w:lastColumn="0" w:noHBand="0" w:noVBand="0" w:val="0000"/>
        <w:jc w:val="start"/>
        <w:tblLayout w:type="fixed"/>
      </w:tblPr>
      <w:tblGrid>
        <w:gridCol w:w="7920"/>
      </w:tblGrid>
      <w:tr>
        <w:tc>
          <w:tcPr/>
          <w:bookmarkStart w:id="438" w:name="fig-OscSchaltung"/>
          <w:p>
            <w:pPr>
              <w:pStyle w:val="Compact"/>
              <w:jc w:val="center"/>
            </w:pPr>
            <w:r>
              <w:drawing>
                <wp:inline>
                  <wp:extent cx="5334000" cy="6141554"/>
                  <wp:effectExtent b="0" l="0" r="0" t="0"/>
                  <wp:docPr descr="" title="" id="436" name="Picture"/>
                  <a:graphic>
                    <a:graphicData uri="http://schemas.openxmlformats.org/drawingml/2006/picture">
                      <pic:pic>
                        <pic:nvPicPr>
                          <pic:cNvPr descr="Projekte/Oszillator/OszillatorPKanal.png" id="437" name="Picture"/>
                          <pic:cNvPicPr>
                            <a:picLocks noChangeArrowheads="1" noChangeAspect="1"/>
                          </pic:cNvPicPr>
                        </pic:nvPicPr>
                        <pic:blipFill>
                          <a:blip r:embed="rId435"/>
                          <a:stretch>
                            <a:fillRect/>
                          </a:stretch>
                        </pic:blipFill>
                        <pic:spPr bwMode="auto">
                          <a:xfrm>
                            <a:off x="0" y="0"/>
                            <a:ext cx="5334000" cy="614155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6.12: Oszillatorschaltung</w:t>
            </w:r>
          </w:p>
          <w:bookmarkEnd w:id="438"/>
        </w:tc>
      </w:tr>
    </w:tbl>
    <w:p>
      <w:pPr>
        <w:pStyle w:val="BodyText"/>
      </w:pPr>
      <w:r>
        <w:t xml:space="preserve">Es ist zu sehen, dass nach einer Einschwingphase die Amplitude der Ausgangsspannung konstant bleibt. Die Amplitudenregelung funktioniert. Der Oszillator funktioniert.</w:t>
      </w:r>
    </w:p>
    <w:p>
      <w:pPr>
        <w:pStyle w:val="BodyText"/>
      </w:pPr>
      <w:r>
        <w:t xml:space="preserve">Um eine Aussage über die Qualität zu machen muss die Verzerrung des Signals betrachtet werden. Dazu wird das Signal in seine Fourierkoeffizienten zerlegt und die Oberwellen berechnet. Die Oberwellen dürfen nicht zu groß sein.</w:t>
      </w:r>
    </w:p>
    <w:p>
      <w:pPr>
        <w:pStyle w:val="BodyText"/>
      </w:pPr>
      <w:r>
        <w:t xml:space="preserve">Es wurde ein einfacher, funktionsfähiger Oszillator dimensioniert. Es gibt jedoch noch viele Möglichkeiten zur Verbesserung.</w:t>
      </w:r>
    </w:p>
    <w:bookmarkEnd w:id="439"/>
    <w:bookmarkEnd w:id="440"/>
    <w:bookmarkEnd w:id="441"/>
    <w:bookmarkStart w:id="447" w:name="aufgabenstellung-1"/>
    <w:p>
      <w:pPr>
        <w:pStyle w:val="Heading2"/>
      </w:pPr>
      <w:r>
        <w:t xml:space="preserve">6.3 Aufgabenstellung</w:t>
      </w:r>
    </w:p>
    <w:p>
      <w:pPr>
        <w:pStyle w:val="FirstParagraph"/>
      </w:pPr>
      <w:r>
        <w:t xml:space="preserve">Hier werden einige Ideen für die Aufgabenstellung gegeben.</w:t>
      </w:r>
    </w:p>
    <w:bookmarkStart w:id="442" w:name="dimensionierung-schwingkreis"/>
    <w:p>
      <w:pPr>
        <w:pStyle w:val="Heading3"/>
      </w:pPr>
      <w:r>
        <w:t xml:space="preserve">6.3.1 Dimensionierung Schwingkreis</w:t>
      </w:r>
    </w:p>
    <w:p>
      <w:pPr>
        <w:pStyle w:val="FirstParagraph"/>
      </w:pPr>
      <w:r>
        <w:t xml:space="preserve">Dimensionieren Sie ein Wien-Robinson Glied für Ihren Oszillator.</w:t>
      </w:r>
      <w:r>
        <w:br/>
      </w:r>
      <w:r>
        <w:t xml:space="preserve">1. Leiten Sie die Gleichungen für die Eigenfrequenz her und berechnen Sie die Bauteilwerte. Verwenden Sie Werte aus entsprechenden Normreihen.</w:t>
      </w:r>
      <w:r>
        <w:br/>
      </w:r>
      <w:r>
        <w:t xml:space="preserve">2. Überprüfen Sie Ihre Berechnungen mittels Simulation.</w:t>
      </w:r>
      <w:r>
        <w:br/>
      </w:r>
      <w:r>
        <w:t xml:space="preserve">3. Geben Sie an wie groß die Verstärkung eines nachgeschaltenen Verstärkers sein muss, damit die Amplitude am Eingang des Schwingkreises gleich groß ist wie die Amplitude nach dem Verstärker.</w:t>
      </w:r>
      <w:r>
        <w:br/>
      </w:r>
      <w:r>
        <w:t xml:space="preserve">4. Machen Sie einen Vorschlag für eine passende Verstärkerschaltung.</w:t>
      </w:r>
    </w:p>
    <w:bookmarkEnd w:id="442"/>
    <w:bookmarkStart w:id="443" w:name="dimensionierung-verstärker"/>
    <w:p>
      <w:pPr>
        <w:pStyle w:val="Heading3"/>
      </w:pPr>
      <w:r>
        <w:t xml:space="preserve">6.3.2 Dimensionierung Verstärker</w:t>
      </w:r>
    </w:p>
    <w:p>
      <w:pPr>
        <w:pStyle w:val="FirstParagraph"/>
      </w:pPr>
      <w:r>
        <w:t xml:space="preserve">Dimensionieren Sie einen Verstärker so, dass die Amplitude am Eingang des Schwingkreises gleich groß ist wie die Amplitude nach dem Verstärker bei der Resonanzfrequenz.</w:t>
      </w:r>
      <w:r>
        <w:br/>
      </w:r>
      <w:r>
        <w:t xml:space="preserve">Überprüfen Sie Ihre Berechnung und machen Sie eine klare Aussage.</w:t>
      </w:r>
    </w:p>
    <w:bookmarkEnd w:id="443"/>
    <w:bookmarkStart w:id="444" w:name="rückkopplung-1"/>
    <w:p>
      <w:pPr>
        <w:pStyle w:val="Heading3"/>
      </w:pPr>
      <w:r>
        <w:t xml:space="preserve">6.3.3 Rückkopplung</w:t>
      </w:r>
    </w:p>
    <w:p>
      <w:pPr>
        <w:pStyle w:val="FirstParagraph"/>
      </w:pPr>
      <w:r>
        <w:t xml:space="preserve">Implementieren Sie die Rückkopplung wie im Skriptum gezeigt.</w:t>
      </w:r>
      <w:r>
        <w:br/>
      </w:r>
      <w:r>
        <w:t xml:space="preserve">Betrachten Sie das Ausgangssignal</w:t>
      </w:r>
      <w:r>
        <w:br/>
      </w:r>
      <w:r>
        <w:t xml:space="preserve">- Welches Ergebnis erwarten Sie?</w:t>
      </w:r>
      <w:r>
        <w:br/>
      </w:r>
      <w:r>
        <w:t xml:space="preserve">- Welches Ergebnis haben Sie?</w:t>
      </w:r>
      <w:r>
        <w:br/>
      </w:r>
      <w:r>
        <w:t xml:space="preserve">- Erklären Sie die Abweichung.</w:t>
      </w:r>
      <w:r>
        <w:br/>
      </w:r>
      <w:r>
        <w:t xml:space="preserve">Welche Ideen haben Sie um das erwartete Ergebnis zu erhalten?</w:t>
      </w:r>
    </w:p>
    <w:bookmarkEnd w:id="444"/>
    <w:bookmarkStart w:id="445" w:name="amplitudenregelung-1"/>
    <w:p>
      <w:pPr>
        <w:pStyle w:val="Heading3"/>
      </w:pPr>
      <w:r>
        <w:t xml:space="preserve">6.3.4 Amplitudenregelung</w:t>
      </w:r>
    </w:p>
    <w:p>
      <w:pPr>
        <w:pStyle w:val="FirstParagraph"/>
      </w:pPr>
      <w:r>
        <w:rPr>
          <w:bCs/>
          <w:b/>
        </w:rPr>
        <w:t xml:space="preserve">Warum Amplitudenregelung</w:t>
      </w:r>
      <w:r>
        <w:br/>
      </w:r>
      <w:r>
        <w:t xml:space="preserve">Geben Sie kurz an warum eine Amplitudenregelung notwendig ist.</w:t>
      </w:r>
    </w:p>
    <w:p>
      <w:pPr>
        <w:pStyle w:val="BodyText"/>
      </w:pPr>
      <w:r>
        <w:rPr>
          <w:bCs/>
          <w:b/>
        </w:rPr>
        <w:t xml:space="preserve">Setzen Sie die Amplitudenregelung um</w:t>
      </w:r>
      <w:r>
        <w:br/>
      </w:r>
      <w:r>
        <w:t xml:space="preserve">Wählen Sie aus folgenden zwei Methoden:</w:t>
      </w:r>
      <w:r>
        <w:br/>
      </w:r>
      <w:r>
        <w:t xml:space="preserve">a. Mittels Hilfe des Buches E. Böhmer WO D. Ehrhardt Elemente der angewandten Elektronik. Kapitel 13.2.</w:t>
      </w:r>
      <w:r>
        <w:br/>
      </w:r>
      <w:r>
        <w:t xml:space="preserve">b. Mit dem im Unterricht aufgezeigten Weg</w:t>
      </w:r>
    </w:p>
    <w:p>
      <w:pPr>
        <w:pStyle w:val="BodyText"/>
      </w:pPr>
      <w:r>
        <w:rPr>
          <w:bCs/>
          <w:b/>
        </w:rPr>
        <w:t xml:space="preserve">Erklären der Schaltung</w:t>
      </w:r>
      <w:r>
        <w:br/>
      </w:r>
      <w:r>
        <w:t xml:space="preserve">Versuchen Sie die Schaltung in einzelne Teilschaltungen einzuteilen und erklären Sie die Schaltung.</w:t>
      </w:r>
      <w:r>
        <w:br/>
      </w:r>
      <w:r>
        <w:t xml:space="preserve">Versuchen Sie es so zu erklären wie Sie es gerne erklärt haben würden.</w:t>
      </w:r>
      <w:r>
        <w:br/>
      </w:r>
      <w:r>
        <w:t xml:space="preserve">Testen Sie Ihre Erklärung wechselseitig im Team.</w:t>
      </w:r>
      <w:r>
        <w:br/>
      </w:r>
      <w:r>
        <w:t xml:space="preserve">Achten Sie darauf, dass Ihre Erklärung gängige Normen und Standards einhält.</w:t>
      </w:r>
    </w:p>
    <w:bookmarkEnd w:id="445"/>
    <w:bookmarkStart w:id="446" w:name="ideen-für-den-einser"/>
    <w:p>
      <w:pPr>
        <w:pStyle w:val="Heading3"/>
      </w:pPr>
      <w:r>
        <w:t xml:space="preserve">6.3.5 Ideen für den Einser</w:t>
      </w:r>
    </w:p>
    <w:p>
      <w:pPr>
        <w:pStyle w:val="FirstParagraph"/>
      </w:pPr>
      <w:r>
        <w:t xml:space="preserve">Ideen für den Nachweis der Eigenständigkeit:</w:t>
      </w:r>
      <w:r>
        <w:br/>
      </w:r>
      <w:r>
        <w:t xml:space="preserve">• Verwenden Sie ein alternatives Frequenzbestimmendes Glied</w:t>
      </w:r>
      <w:r>
        <w:br/>
      </w:r>
      <w:r>
        <w:t xml:space="preserve">• Setzten Sie die Amplitudenregelung alternativ um</w:t>
      </w:r>
      <w:r>
        <w:br/>
      </w:r>
      <w:r>
        <w:t xml:space="preserve">• Nehmen Sie eine Schaltung aus der Literatur und erklären Sie die Vor- und Nachteile zu der im Unterricht entwickelten Schaltung.</w:t>
      </w:r>
      <w:r>
        <w:br/>
      </w:r>
      <w:r>
        <w:t xml:space="preserve">• …</w:t>
      </w:r>
    </w:p>
    <w:bookmarkEnd w:id="446"/>
    <w:bookmarkEnd w:id="447"/>
    <w:bookmarkEnd w:id="448"/>
    <w:bookmarkStart w:id="472" w:name="sec-VarStatFilter"/>
    <w:p>
      <w:pPr>
        <w:pStyle w:val="Heading1"/>
      </w:pPr>
      <w:r>
        <w:t xml:space="preserve">7. State Variable Filter</w:t>
      </w:r>
    </w:p>
    <w:p>
      <w:pPr>
        <w:pStyle w:val="FirstParagraph"/>
      </w:pPr>
      <w:r>
        <w:t xml:space="preserve">Filter allgemein werden eingesetzt um Signale zu verarbeiten. Ein Filter kann dabei unterschiedliche Aufgaben übernehmen. Ein Filter kann z.B. dazu verwendet werden, um ein Signal zu glätten, um Störungen zu unterdrücken oder um Signale zu trennen. Filter können dabei unterschiedliche Strukturen aufweisen.</w:t>
      </w:r>
    </w:p>
    <w:p>
      <w:pPr>
        <w:pStyle w:val="BodyText"/>
      </w:pPr>
      <w:r>
        <w:t xml:space="preserve">Der hier vorgestellte</w:t>
      </w:r>
      <w:r>
        <w:t xml:space="preserve"> </w:t>
      </w:r>
      <w:r>
        <w:rPr>
          <w:iCs/>
          <w:i/>
        </w:rPr>
        <w:t xml:space="preserve">State Variable Filter</w:t>
      </w:r>
      <w:r>
        <w:t xml:space="preserve">,</w:t>
      </w:r>
      <w:r>
        <w:t xml:space="preserve"> </w:t>
      </w:r>
      <w:hyperlink w:anchor="fig-svf_sch">
        <w:r>
          <w:rPr>
            <w:rStyle w:val="Hyperlink"/>
          </w:rPr>
          <w:t xml:space="preserve">Abbildung 7.1</w:t>
        </w:r>
      </w:hyperlink>
      <w:r>
        <w:t xml:space="preserve"> </w:t>
      </w:r>
      <w:r>
        <w:t xml:space="preserve">ist ein Filter, welcher mit einer Schaltung sowohl als Tiefpassfilter, Hochpassfilter, Bandpassfilter oder Bandsperre verwendet werden kann. Welcher Filter auf das Eingangssignal angewandt wird, wird durch die Auswahl des Ausganges bestimmt.</w:t>
      </w:r>
    </w:p>
    <w:tbl>
      <w:tblPr>
        <w:tblStyle w:val="Table"/>
        <w:tblW w:type="pct" w:w="5000"/>
        <w:tblLook w:firstRow="0" w:lastRow="0" w:firstColumn="0" w:lastColumn="0" w:noHBand="0" w:noVBand="0" w:val="0000"/>
        <w:jc w:val="start"/>
        <w:tblLayout w:type="fixed"/>
      </w:tblPr>
      <w:tblGrid>
        <w:gridCol w:w="7920"/>
      </w:tblGrid>
      <w:tr>
        <w:tc>
          <w:tcPr/>
          <w:bookmarkStart w:id="452" w:name="fig-svf_sch"/>
          <w:p>
            <w:pPr>
              <w:pStyle w:val="Compact"/>
              <w:jc w:val="center"/>
            </w:pPr>
            <w:r>
              <w:drawing>
                <wp:inline>
                  <wp:extent cx="5334000" cy="1952975"/>
                  <wp:effectExtent b="0" l="0" r="0" t="0"/>
                  <wp:docPr descr="" title="" id="450" name="Picture"/>
                  <a:graphic>
                    <a:graphicData uri="http://schemas.openxmlformats.org/drawingml/2006/picture">
                      <pic:pic>
                        <pic:nvPicPr>
                          <pic:cNvPr descr="Projekte/SVF/SVF_Circuit.png" id="451" name="Picture"/>
                          <pic:cNvPicPr>
                            <a:picLocks noChangeArrowheads="1" noChangeAspect="1"/>
                          </pic:cNvPicPr>
                        </pic:nvPicPr>
                        <pic:blipFill>
                          <a:blip r:embed="rId449"/>
                          <a:stretch>
                            <a:fillRect/>
                          </a:stretch>
                        </pic:blipFill>
                        <pic:spPr bwMode="auto">
                          <a:xfrm>
                            <a:off x="0" y="0"/>
                            <a:ext cx="5334000" cy="19529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Schaltung eines</w:t>
            </w:r>
            <w:r>
              <w:t xml:space="preserve"> </w:t>
            </w:r>
            <w:r>
              <w:rPr>
                <w:iCs/>
                <w:i/>
              </w:rPr>
              <w:t xml:space="preserve">State Variable Filters</w:t>
            </w:r>
          </w:p>
          <w:bookmarkEnd w:id="452"/>
        </w:tc>
      </w:tr>
    </w:tbl>
    <w:p>
      <w:pPr>
        <w:pStyle w:val="BodyText"/>
      </w:pPr>
      <w:r>
        <w:t xml:space="preserve">Das Verhalten von Filtern kann am besten mit deren Übertragungsfunktion beschrieben werden. Dabei geht es immer darum, das Verhältnis von Ausgangssignal zu Eingangssignal zu beschreiben. Da sich das Wort Filter auf Frequenzen bezieht, wird die Übertragungsfunktion in der Regel im Frequenzbereich betrachtet. Ob dabei nun die komplexe schreibweise</w:t>
      </w:r>
      <w:r>
        <w:t xml:space="preserve"> </w:t>
      </w:r>
      <m:oMath>
        <m:r>
          <m:t>j</m:t>
        </m:r>
        <m:r>
          <m:t>ω</m:t>
        </m:r>
      </m:oMath>
      <w:r>
        <w:t xml:space="preserve"> </w:t>
      </w:r>
      <w:r>
        <w:t xml:space="preserve">oder die Laplace-Transformation</w:t>
      </w:r>
      <w:r>
        <w:t xml:space="preserve"> </w:t>
      </w:r>
      <m:oMath>
        <m:r>
          <m:t>s</m:t>
        </m:r>
      </m:oMath>
      <w:r>
        <w:t xml:space="preserve"> </w:t>
      </w:r>
      <w:r>
        <w:t xml:space="preserve">verwendet wird, hängt im wesentlichen davon ab welche Art von Eingangssignalen betrachtet werden sollen.</w:t>
      </w:r>
    </w:p>
    <w:p>
      <w:pPr>
        <w:pStyle w:val="BodyText"/>
      </w:pPr>
      <w:r>
        <w:t xml:space="preserve">Für den hier gezeigten</w:t>
      </w:r>
      <w:r>
        <w:t xml:space="preserve"> </w:t>
      </w:r>
      <w:r>
        <w:rPr>
          <w:iCs/>
          <w:i/>
        </w:rPr>
        <w:t xml:space="preserve">State Variable Filter</w:t>
      </w:r>
      <w:r>
        <w:t xml:space="preserve"> </w:t>
      </w:r>
      <w:r>
        <w:t xml:space="preserve">müssen die Übertragungsfunktionen für die vier möglichen Filtertypen analytisch berechnet werden.</w:t>
      </w:r>
    </w:p>
    <w:p>
      <w:pPr>
        <w:pStyle w:val="BodyText"/>
      </w:pPr>
      <w:r>
        <w:t xml:space="preserve">Die analytisch berechneten Übertragungsfunktionen der Filter werden verwendet, um Bodediagramme zu erstellen. Diese Bodediagramme geben Aufschluss über das Frequenzverhalten des Systems, indem sie die Verstärkung und Phasenverschiebung in Abhängigkeit von der Frequenz darstellen. Im Anschluss an die Berechnung der Bodediagramme auf analytischer Basis erfolgt der Vergleich mit numerischen Simulationsergebnissen, die in</w:t>
      </w:r>
      <w:r>
        <w:t xml:space="preserve"> </w:t>
      </w:r>
      <w:r>
        <w:rPr>
          <w:iCs/>
          <w:i/>
        </w:rPr>
        <w:t xml:space="preserve">Altium</w:t>
      </w:r>
      <w:r>
        <w:t xml:space="preserve"> </w:t>
      </w:r>
      <w:r>
        <w:t xml:space="preserve">durchgeführt werden.</w:t>
      </w:r>
    </w:p>
    <w:p>
      <w:pPr>
        <w:pStyle w:val="BodyText"/>
      </w:pPr>
      <w:r>
        <w:t xml:space="preserve">Der Vergleich zwischen analytischen und simulierten Ergebnissen ermöglicht eine Überprüfung der Genauigkeit des mathematischen Modells sowie der Simulationseinstellungen in Altium. Eventuelle Abweichungen können auf Vereinfachungen im analytischen Modell, numerische Fehler oder auf die verwendeten Bauteilparameter in der Simulation zurückzuführen sein.</w:t>
      </w:r>
    </w:p>
    <w:bookmarkStart w:id="471" w:name="Xabd30498889489e53de02ca3e75b2bd56c071f3"/>
    <w:p>
      <w:pPr>
        <w:pStyle w:val="Heading2"/>
      </w:pPr>
      <w:r>
        <w:t xml:space="preserve">7.1 Analytische Herleitung der Übertragungsfunktionen</w:t>
      </w:r>
    </w:p>
    <w:bookmarkStart w:id="470" w:name="refs"/>
    <w:bookmarkStart w:id="454" w:name="ref-BJT_Kennlinie"/>
    <w:p>
      <w:pPr>
        <w:pStyle w:val="Bibliography"/>
      </w:pPr>
      <w:r>
        <w:t xml:space="preserve">1.</w:t>
      </w:r>
      <w:r>
        <w:t xml:space="preserve"> </w:t>
      </w:r>
      <w:r>
        <w:t xml:space="preserve">	</w:t>
      </w:r>
      <w:r>
        <w:t xml:space="preserve">Biezl V Bipolartransistor Kennlinienfeld.</w:t>
      </w:r>
      <w:r>
        <w:t xml:space="preserve"> </w:t>
      </w:r>
      <w:hyperlink r:id="rId453">
        <w:r>
          <w:rPr>
            <w:rStyle w:val="Hyperlink"/>
          </w:rPr>
          <w:t xml:space="preserve">https://commons.wikimedia.org/w/index.php?curid=7329334</w:t>
        </w:r>
      </w:hyperlink>
      <w:r>
        <w:t xml:space="preserve">. Accessed 19 Nov 2023</w:t>
      </w:r>
    </w:p>
    <w:bookmarkEnd w:id="454"/>
    <w:bookmarkStart w:id="455" w:name="ref-boehmer17"/>
    <w:p>
      <w:pPr>
        <w:pStyle w:val="Bibliography"/>
      </w:pPr>
      <w:r>
        <w:t xml:space="preserve">2.</w:t>
      </w:r>
      <w:r>
        <w:t xml:space="preserve"> </w:t>
      </w:r>
      <w:r>
        <w:t xml:space="preserve">	</w:t>
      </w:r>
      <w:r>
        <w:t xml:space="preserve">Böhmer E, Ehrhardt D, Oberschelp W (2018) Elemente der angewandten Elektronik. Springer Verlag, Wiesbaden</w:t>
      </w:r>
    </w:p>
    <w:bookmarkEnd w:id="455"/>
    <w:bookmarkStart w:id="457" w:name="ref-DC-Motor_Market"/>
    <w:p>
      <w:pPr>
        <w:pStyle w:val="Bibliography"/>
      </w:pPr>
      <w:r>
        <w:t xml:space="preserve">3.</w:t>
      </w:r>
      <w:r>
        <w:t xml:space="preserve"> </w:t>
      </w:r>
      <w:r>
        <w:t xml:space="preserve">	</w:t>
      </w:r>
      <w:r>
        <w:t xml:space="preserve">Transparency Market Reserach Inc DC Motors Market.</w:t>
      </w:r>
      <w:r>
        <w:t xml:space="preserve"> </w:t>
      </w:r>
      <w:hyperlink r:id="rId456">
        <w:r>
          <w:rPr>
            <w:rStyle w:val="Hyperlink"/>
          </w:rPr>
          <w:t xml:space="preserve">https://www.transparencymarketresearch.com/dc-motors-market.html</w:t>
        </w:r>
      </w:hyperlink>
      <w:r>
        <w:t xml:space="preserve">. Accessed 13 Dez 2023</w:t>
      </w:r>
    </w:p>
    <w:bookmarkEnd w:id="457"/>
    <w:bookmarkStart w:id="459" w:name="ref-HBruecke"/>
    <w:p>
      <w:pPr>
        <w:pStyle w:val="Bibliography"/>
      </w:pPr>
      <w:r>
        <w:t xml:space="preserve">4.</w:t>
      </w:r>
      <w:r>
        <w:t xml:space="preserve"> </w:t>
      </w:r>
      <w:r>
        <w:t xml:space="preserve">	</w:t>
      </w:r>
      <w:r>
        <w:t xml:space="preserve">Biezl V Vierquadrantensteller steuert Gleichstrommotor.</w:t>
      </w:r>
      <w:r>
        <w:t xml:space="preserve"> </w:t>
      </w:r>
      <w:hyperlink r:id="rId458">
        <w:r>
          <w:rPr>
            <w:rStyle w:val="Hyperlink"/>
          </w:rPr>
          <w:t xml:space="preserve">https://commons.wikimedia.org/w/index.php?curid=4792919</w:t>
        </w:r>
      </w:hyperlink>
      <w:r>
        <w:t xml:space="preserve">. Accessed 13 Dez 2023</w:t>
      </w:r>
    </w:p>
    <w:bookmarkEnd w:id="459"/>
    <w:bookmarkStart w:id="461"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460">
        <w:r>
          <w:rPr>
            <w:rStyle w:val="Hyperlink"/>
          </w:rPr>
          <w:t xml:space="preserve">https://www.infineon.com/dgdl/Infineon-TLE7182EM-DS-v01_01-en.pdf?fileId=db3a30432f5008fe012f5442920c3996</w:t>
        </w:r>
      </w:hyperlink>
      <w:r>
        <w:t xml:space="preserve">. Accessed 1 Feb 2024</w:t>
      </w:r>
    </w:p>
    <w:bookmarkEnd w:id="461"/>
    <w:bookmarkStart w:id="463" w:name="ref-LogicDriverL99H02"/>
    <w:p>
      <w:pPr>
        <w:pStyle w:val="Bibliography"/>
      </w:pPr>
      <w:r>
        <w:t xml:space="preserve">6.</w:t>
      </w:r>
      <w:r>
        <w:t xml:space="preserve"> </w:t>
      </w:r>
      <w:r>
        <w:t xml:space="preserve">	</w:t>
      </w:r>
      <w:r>
        <w:t xml:space="preserve">Microelectronics S L99H02 Motor bridge driver.</w:t>
      </w:r>
      <w:r>
        <w:t xml:space="preserve"> </w:t>
      </w:r>
      <w:hyperlink r:id="rId462">
        <w:r>
          <w:rPr>
            <w:rStyle w:val="Hyperlink"/>
          </w:rPr>
          <w:t xml:space="preserve">https://www.st.com/en/automotive-analog-and-power/l99h02.html</w:t>
        </w:r>
      </w:hyperlink>
      <w:r>
        <w:t xml:space="preserve">. Accessed 1 Feb 2024</w:t>
      </w:r>
    </w:p>
    <w:bookmarkEnd w:id="463"/>
    <w:bookmarkStart w:id="465" w:name="ref-LogicDriverBridgeIFX9201SG"/>
    <w:p>
      <w:pPr>
        <w:pStyle w:val="Bibliography"/>
      </w:pPr>
      <w:r>
        <w:t xml:space="preserve">7.</w:t>
      </w:r>
      <w:r>
        <w:t xml:space="preserve"> </w:t>
      </w:r>
      <w:r>
        <w:t xml:space="preserve">	</w:t>
      </w:r>
      <w:r>
        <w:t xml:space="preserve">Technologies I IFX9201SG 6 A H-Bridge.</w:t>
      </w:r>
      <w:r>
        <w:t xml:space="preserve"> </w:t>
      </w:r>
      <w:hyperlink r:id="rId464">
        <w:r>
          <w:rPr>
            <w:rStyle w:val="Hyperlink"/>
          </w:rPr>
          <w:t xml:space="preserve">https://www.infineon.com/dgdl/Infineon-IFX9201SG-DS-v01_01-EN.pdf?fileId=5546d4624cb7f111014d2e8916795dea</w:t>
        </w:r>
      </w:hyperlink>
      <w:r>
        <w:t xml:space="preserve">. Accessed 1 Feb 2024</w:t>
      </w:r>
    </w:p>
    <w:bookmarkEnd w:id="465"/>
    <w:bookmarkStart w:id="467" w:name="ref-LogicDriverBridgeL298"/>
    <w:p>
      <w:pPr>
        <w:pStyle w:val="Bibliography"/>
      </w:pPr>
      <w:r>
        <w:t xml:space="preserve">8.</w:t>
      </w:r>
      <w:r>
        <w:t xml:space="preserve"> </w:t>
      </w:r>
      <w:r>
        <w:t xml:space="preserve">	</w:t>
      </w:r>
      <w:r>
        <w:t xml:space="preserve">Microelectronics S L298 Dual Full Bridge Driver.</w:t>
      </w:r>
      <w:r>
        <w:t xml:space="preserve"> </w:t>
      </w:r>
      <w:hyperlink r:id="rId466">
        <w:r>
          <w:rPr>
            <w:rStyle w:val="Hyperlink"/>
          </w:rPr>
          <w:t xml:space="preserve">https://www.st.com/resource/en/datasheet/l298.pdf</w:t>
        </w:r>
      </w:hyperlink>
      <w:r>
        <w:t xml:space="preserve">. Accessed 1 Feb 2024</w:t>
      </w:r>
    </w:p>
    <w:bookmarkEnd w:id="467"/>
    <w:bookmarkStart w:id="469" w:name="ref-MotorModel"/>
    <w:p>
      <w:pPr>
        <w:pStyle w:val="Bibliography"/>
      </w:pPr>
      <w:r>
        <w:t xml:space="preserve">9.</w:t>
      </w:r>
      <w:r>
        <w:t xml:space="preserve"> </w:t>
      </w:r>
      <w:r>
        <w:t xml:space="preserve">	</w:t>
      </w:r>
      <w:r>
        <w:t xml:space="preserve">precisionmicrodrives Using SPICE To Model DC Motors.</w:t>
      </w:r>
      <w:r>
        <w:t xml:space="preserve"> </w:t>
      </w:r>
      <w:hyperlink r:id="rId468">
        <w:r>
          <w:rPr>
            <w:rStyle w:val="Hyperlink"/>
          </w:rPr>
          <w:t xml:space="preserve">https://www.precisionmicrodrives.com/ab-025</w:t>
        </w:r>
        <w:r>
          <w:rPr>
            <w:rStyle w:val="Hyperlink"/>
          </w:rPr>
          <w:t xml:space="preserve"> </w:t>
        </w:r>
      </w:hyperlink>
      <w:r>
        <w:t xml:space="preserve">. Accessed 19 Jan 2024</w:t>
      </w:r>
    </w:p>
    <w:bookmarkEnd w:id="469"/>
    <w:bookmarkEnd w:id="470"/>
    <w:bookmarkEnd w:id="471"/>
    <w:bookmarkEnd w:id="4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8" Target="media/rId88.png" /><Relationship Type="http://schemas.openxmlformats.org/officeDocument/2006/relationships/image" Id="rId111" Target="media/rId111.png" /><Relationship Type="http://schemas.openxmlformats.org/officeDocument/2006/relationships/image" Id="rId34" Target="media/rId34.svg" /><Relationship Type="http://schemas.openxmlformats.org/officeDocument/2006/relationships/image" Id="rId171" Target="media/rId171.png" /><Relationship Type="http://schemas.openxmlformats.org/officeDocument/2006/relationships/image" Id="rId175" Target="media/rId175.svg" /><Relationship Type="http://schemas.openxmlformats.org/officeDocument/2006/relationships/image" Id="rId180" Target="media/rId180.png" /><Relationship Type="http://schemas.openxmlformats.org/officeDocument/2006/relationships/image" Id="rId184" Target="media/rId184.svg" /><Relationship Type="http://schemas.openxmlformats.org/officeDocument/2006/relationships/image" Id="rId193" Target="media/rId193.svg" /><Relationship Type="http://schemas.openxmlformats.org/officeDocument/2006/relationships/image" Id="rId189" Target="media/rId189.png" /><Relationship Type="http://schemas.openxmlformats.org/officeDocument/2006/relationships/image" Id="rId197" Target="media/rId197.svg" /><Relationship Type="http://schemas.openxmlformats.org/officeDocument/2006/relationships/image" Id="rId231" Target="media/rId231.png" /><Relationship Type="http://schemas.openxmlformats.org/officeDocument/2006/relationships/image" Id="rId235" Target="media/rId235.png" /><Relationship Type="http://schemas.openxmlformats.org/officeDocument/2006/relationships/image" Id="rId239" Target="media/rId239.png" /><Relationship Type="http://schemas.openxmlformats.org/officeDocument/2006/relationships/image" Id="rId204" Target="media/rId204.png" /><Relationship Type="http://schemas.openxmlformats.org/officeDocument/2006/relationships/image" Id="rId245" Target="media/rId245.png" /><Relationship Type="http://schemas.openxmlformats.org/officeDocument/2006/relationships/image" Id="rId249" Target="media/rId249.svg" /><Relationship Type="http://schemas.openxmlformats.org/officeDocument/2006/relationships/image" Id="rId270" Target="media/rId270.png" /><Relationship Type="http://schemas.openxmlformats.org/officeDocument/2006/relationships/image" Id="rId266" Target="media/rId266.png" /><Relationship Type="http://schemas.openxmlformats.org/officeDocument/2006/relationships/image" Id="rId257" Target="media/rId257.png" /><Relationship Type="http://schemas.openxmlformats.org/officeDocument/2006/relationships/image" Id="rId261" Target="media/rId261.svg" /><Relationship Type="http://schemas.openxmlformats.org/officeDocument/2006/relationships/image" Id="rId274" Target="media/rId274.png" /><Relationship Type="http://schemas.openxmlformats.org/officeDocument/2006/relationships/image" Id="rId278" Target="media/rId278.svg" /><Relationship Type="http://schemas.openxmlformats.org/officeDocument/2006/relationships/image" Id="rId283" Target="media/rId283.png" /><Relationship Type="http://schemas.openxmlformats.org/officeDocument/2006/relationships/image" Id="rId167" Target="media/rId167.png" /><Relationship Type="http://schemas.openxmlformats.org/officeDocument/2006/relationships/image" Id="rId349" Target="media/rId349.png" /><Relationship Type="http://schemas.openxmlformats.org/officeDocument/2006/relationships/image" Id="rId328" Target="media/rId328.png" /><Relationship Type="http://schemas.openxmlformats.org/officeDocument/2006/relationships/image" Id="rId299" Target="media/rId299.png" /><Relationship Type="http://schemas.openxmlformats.org/officeDocument/2006/relationships/image" Id="rId313" Target="media/rId313.png" /><Relationship Type="http://schemas.openxmlformats.org/officeDocument/2006/relationships/image" Id="rId303" Target="media/rId303.png" /><Relationship Type="http://schemas.openxmlformats.org/officeDocument/2006/relationships/image" Id="rId308" Target="media/rId308.png" /><Relationship Type="http://schemas.openxmlformats.org/officeDocument/2006/relationships/image" Id="rId334" Target="media/rId334.png" /><Relationship Type="http://schemas.openxmlformats.org/officeDocument/2006/relationships/image" Id="rId345" Target="media/rId345.png" /><Relationship Type="http://schemas.openxmlformats.org/officeDocument/2006/relationships/image" Id="rId341" Target="media/rId341.png" /><Relationship Type="http://schemas.openxmlformats.org/officeDocument/2006/relationships/image" Id="rId295" Target="media/rId295.png" /><Relationship Type="http://schemas.openxmlformats.org/officeDocument/2006/relationships/image" Id="rId377" Target="media/rId377.png" /><Relationship Type="http://schemas.openxmlformats.org/officeDocument/2006/relationships/image" Id="rId412" Target="media/rId412.png" /><Relationship Type="http://schemas.openxmlformats.org/officeDocument/2006/relationships/image" Id="rId402" Target="media/rId402.png" /><Relationship Type="http://schemas.openxmlformats.org/officeDocument/2006/relationships/image" Id="rId358" Target="media/rId358.png" /><Relationship Type="http://schemas.openxmlformats.org/officeDocument/2006/relationships/image" Id="rId387" Target="media/rId387.png" /><Relationship Type="http://schemas.openxmlformats.org/officeDocument/2006/relationships/image" Id="rId435" Target="media/rId435.png" /><Relationship Type="http://schemas.openxmlformats.org/officeDocument/2006/relationships/image" Id="rId426" Target="media/rId426.png" /><Relationship Type="http://schemas.openxmlformats.org/officeDocument/2006/relationships/image" Id="rId420" Target="media/rId420.png" /><Relationship Type="http://schemas.openxmlformats.org/officeDocument/2006/relationships/image" Id="rId416" Target="media/rId416.png" /><Relationship Type="http://schemas.openxmlformats.org/officeDocument/2006/relationships/image" Id="rId406" Target="media/rId406.png" /><Relationship Type="http://schemas.openxmlformats.org/officeDocument/2006/relationships/image" Id="rId366" Target="media/rId366.png" /><Relationship Type="http://schemas.openxmlformats.org/officeDocument/2006/relationships/image" Id="rId430" Target="media/rId430.png" /><Relationship Type="http://schemas.openxmlformats.org/officeDocument/2006/relationships/image" Id="rId449" Target="media/rId449.png" /><Relationship Type="http://schemas.openxmlformats.org/officeDocument/2006/relationships/image" Id="rId148" Target="media/rId148.svg" /><Relationship Type="http://schemas.openxmlformats.org/officeDocument/2006/relationships/image" Id="rId140" Target="media/rId140.svg" /><Relationship Type="http://schemas.openxmlformats.org/officeDocument/2006/relationships/hyperlink" Id="rId458" Target="https://commons.wikimedia.org/w/index.php?curid=4792919" TargetMode="External" /><Relationship Type="http://schemas.openxmlformats.org/officeDocument/2006/relationships/hyperlink" Id="rId453" Target="https://commons.wikimedia.org/w/index.php?curid=7329334" TargetMode="External" /><Relationship Type="http://schemas.openxmlformats.org/officeDocument/2006/relationships/hyperlink" Id="rId363" Target="https://de.wikipedia.org/wiki/Laplace-Transformation" TargetMode="External" /><Relationship Type="http://schemas.openxmlformats.org/officeDocument/2006/relationships/hyperlink" Id="rId362"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6"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64" Target="https://www.infineon.com/dgdl/Infineon-IFX9201SG-DS-v01_01-EN.pdf?fileId=5546d4624cb7f111014d2e8916795dea" TargetMode="External" /><Relationship Type="http://schemas.openxmlformats.org/officeDocument/2006/relationships/hyperlink" Id="rId460" Target="https://www.infineon.com/dgdl/Infineon-TLE7182EM-DS-v01_01-en.pdf?fileId=db3a30432f5008fe012f5442920c3996" TargetMode="External" /><Relationship Type="http://schemas.openxmlformats.org/officeDocument/2006/relationships/hyperlink" Id="rId468" Target="https://www.precisionmicrodrives.com/ab-025 " TargetMode="External" /><Relationship Type="http://schemas.openxmlformats.org/officeDocument/2006/relationships/hyperlink" Id="rId462" Target="https://www.st.com/en/automotive-analog-and-power/l99h02.html" TargetMode="External" /><Relationship Type="http://schemas.openxmlformats.org/officeDocument/2006/relationships/hyperlink" Id="rId466" Target="https://www.st.com/resource/en/datasheet/l298.pdf" TargetMode="External" /><Relationship Type="http://schemas.openxmlformats.org/officeDocument/2006/relationships/hyperlink" Id="rId456"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458" Target="https://commons.wikimedia.org/w/index.php?curid=4792919" TargetMode="External" /><Relationship Type="http://schemas.openxmlformats.org/officeDocument/2006/relationships/hyperlink" Id="rId453" Target="https://commons.wikimedia.org/w/index.php?curid=7329334" TargetMode="External" /><Relationship Type="http://schemas.openxmlformats.org/officeDocument/2006/relationships/hyperlink" Id="rId363" Target="https://de.wikipedia.org/wiki/Laplace-Transformation" TargetMode="External" /><Relationship Type="http://schemas.openxmlformats.org/officeDocument/2006/relationships/hyperlink" Id="rId362" Target="https://de.wikipedia.org/wiki/Nomenklatur" TargetMode="External" /><Relationship Type="http://schemas.openxmlformats.org/officeDocument/2006/relationships/hyperlink" Id="rId293"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56" Target="https://resources.altium.com/p/everything-you-need-know-about-oscillators" TargetMode="External" /><Relationship Type="http://schemas.openxmlformats.org/officeDocument/2006/relationships/hyperlink" Id="rId294" Target="https://www.altium.com/documentation/altium-designer/multi-sheet-multi-channel-design?version=22" TargetMode="External" /><Relationship Type="http://schemas.openxmlformats.org/officeDocument/2006/relationships/hyperlink" Id="rId464" Target="https://www.infineon.com/dgdl/Infineon-IFX9201SG-DS-v01_01-EN.pdf?fileId=5546d4624cb7f111014d2e8916795dea" TargetMode="External" /><Relationship Type="http://schemas.openxmlformats.org/officeDocument/2006/relationships/hyperlink" Id="rId460" Target="https://www.infineon.com/dgdl/Infineon-TLE7182EM-DS-v01_01-en.pdf?fileId=db3a30432f5008fe012f5442920c3996" TargetMode="External" /><Relationship Type="http://schemas.openxmlformats.org/officeDocument/2006/relationships/hyperlink" Id="rId468" Target="https://www.precisionmicrodrives.com/ab-025 " TargetMode="External" /><Relationship Type="http://schemas.openxmlformats.org/officeDocument/2006/relationships/hyperlink" Id="rId462" Target="https://www.st.com/en/automotive-analog-and-power/l99h02.html" TargetMode="External" /><Relationship Type="http://schemas.openxmlformats.org/officeDocument/2006/relationships/hyperlink" Id="rId466" Target="https://www.st.com/resource/en/datasheet/l298.pdf" TargetMode="External" /><Relationship Type="http://schemas.openxmlformats.org/officeDocument/2006/relationships/hyperlink" Id="rId456"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2024-12-05T11:58:13Z</dcterms:created>
  <dcterms:modified xsi:type="dcterms:W3CDTF">2024-12-05T11:58:13Z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2024-12-05</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emplate-partials">
    <vt:lpwstr/>
  </property>
  <property fmtid="{D5CDD505-2E9C-101B-9397-08002B2CF9AE}" pid="19" name="toc-title">
    <vt:lpwstr>Inhaltsverzeichnis</vt:lpwstr>
  </property>
</Properties>
</file>