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0.png" ContentType="image/png"/>
  <Override PartName="/word/media/rId103.png" ContentType="image/png"/>
  <Override PartName="/word/media/rId34.svg" ContentType="image/svg+xml"/>
  <Override PartName="/word/media/rId163.png" ContentType="image/png"/>
  <Override PartName="/word/media/rId167.svg" ContentType="image/svg+xml"/>
  <Override PartName="/word/media/rId172.png" ContentType="image/png"/>
  <Override PartName="/word/media/rId176.svg" ContentType="image/svg+xml"/>
  <Override PartName="/word/media/rId185.svg" ContentType="image/svg+xml"/>
  <Override PartName="/word/media/rId181.png" ContentType="image/png"/>
  <Override PartName="/word/media/rId189.svg" ContentType="image/svg+xml"/>
  <Override PartName="/word/media/rId223.png" ContentType="image/png"/>
  <Override PartName="/word/media/rId227.png" ContentType="image/png"/>
  <Override PartName="/word/media/rId231.png" ContentType="image/png"/>
  <Override PartName="/word/media/rId196.png" ContentType="image/png"/>
  <Override PartName="/word/media/rId237.png" ContentType="image/png"/>
  <Override PartName="/word/media/rId241.svg" ContentType="image/svg+xml"/>
  <Override PartName="/word/media/rId262.png" ContentType="image/png"/>
  <Override PartName="/word/media/rId258.png" ContentType="image/png"/>
  <Override PartName="/word/media/rId249.png" ContentType="image/png"/>
  <Override PartName="/word/media/rId253.svg" ContentType="image/svg+xml"/>
  <Override PartName="/word/media/rId266.png" ContentType="image/png"/>
  <Override PartName="/word/media/rId270.svg" ContentType="image/svg+xml"/>
  <Override PartName="/word/media/rId159.png" ContentType="image/png"/>
  <Override PartName="/word/media/rId334.png" ContentType="image/png"/>
  <Override PartName="/word/media/rId313.png" ContentType="image/png"/>
  <Override PartName="/word/media/rId284.png" ContentType="image/png"/>
  <Override PartName="/word/media/rId298.png" ContentType="image/png"/>
  <Override PartName="/word/media/rId288.png" ContentType="image/png"/>
  <Override PartName="/word/media/rId293.png" ContentType="image/png"/>
  <Override PartName="/word/media/rId319.png" ContentType="image/png"/>
  <Override PartName="/word/media/rId330.png" ContentType="image/png"/>
  <Override PartName="/word/media/rId326.png" ContentType="image/png"/>
  <Override PartName="/word/media/rId280.png" ContentType="image/png"/>
  <Override PartName="/word/media/rId362.png" ContentType="image/png"/>
  <Override PartName="/word/media/rId382.png" ContentType="image/png"/>
  <Override PartName="/word/media/rId343.png" ContentType="image/png"/>
  <Override PartName="/word/media/rId373.png" ContentType="image/png"/>
  <Override PartName="/word/media/rId386.png" ContentType="image/png"/>
  <Override PartName="/word/media/rId352.png" ContentType="image/png"/>
  <Override PartName="/word/media/rId140.svg" ContentType="image/svg+xml"/>
  <Override PartName="/word/media/rId13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2024-04-09</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(Idempotenzgesetze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Idempotenzgesetze der Disjunktion</w:t>
      </w:r>
      <w:r>
        <w:t xml:space="preserve"> </w:t>
      </w:r>
      <m:oMath>
        <m:r>
          <m:t>A</m:t>
        </m:r>
        <m:r>
          <m:rPr>
            <m:sty m:val="p"/>
          </m:rPr>
          <m:t>∨</m:t>
        </m:r>
        <m:r>
          <m:t>A</m:t>
        </m:r>
        <m:r>
          <m:rPr>
            <m:sty m:val="p"/>
          </m:rPr>
          <m:t>=</m:t>
        </m:r>
        <m:r>
          <m:t>A</m:t>
        </m:r>
      </m:oMath>
      <w:r>
        <w:t xml:space="preserve"> </w:t>
      </w:r>
      <w:r>
        <w:t xml:space="preserve">kann der letzte dieser Term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Y</m:t>
        </m:r>
      </m:oMath>
      <w:r>
        <w:t xml:space="preserve"> </w:t>
      </w:r>
      <w:r>
        <w:t xml:space="preserve">… Y Ausgang</w:t>
      </w:r>
    </w:p>
    <w:p>
      <w:pPr>
        <w:pStyle w:val="BodyText"/>
      </w:pPr>
      <m:oMath>
        <m:r>
          <m:t>D</m:t>
        </m:r>
      </m:oMath>
      <w:r>
        <w:t xml:space="preserve"> </w:t>
      </w:r>
      <w:r>
        <w:t xml:space="preserve">… D Eingang</w:t>
      </w:r>
    </w:p>
    <w:p>
      <w:pPr>
        <w:pStyle w:val="BodyText"/>
      </w:pPr>
      <m:oMath>
        <m:r>
          <m:t>C</m:t>
        </m:r>
      </m:oMath>
      <w:r>
        <w:t xml:space="preserve"> </w:t>
      </w:r>
      <w:r>
        <w:t xml:space="preserve">… C Eingang</w:t>
      </w:r>
    </w:p>
    <w:p>
      <w:pPr>
        <w:pStyle w:val="BodyText"/>
      </w:pPr>
      <m:oMath>
        <m:r>
          <m:t>A</m:t>
        </m:r>
      </m:oMath>
      <w:r>
        <w:t xml:space="preserve"> </w:t>
      </w:r>
      <w:r>
        <w:t xml:space="preserve">… A Eingang</w:t>
      </w:r>
    </w:p>
    <w:p>
      <w:pPr>
        <w:pStyle w:val="BodyText"/>
      </w:pPr>
      <m:oMath>
        <m:r>
          <m:t>B</m:t>
        </m:r>
      </m:oMath>
      <w:r>
        <w:t xml:space="preserve"> </w:t>
      </w:r>
      <w:r>
        <w:t xml:space="preserve">… B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1"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für Gleichungen aufgestellt. 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SourceCode"/>
      </w:pPr>
      <w:r>
        <w:rPr>
          <w:rStyle w:val="VerbatimChar"/>
        </w:rPr>
        <w:t xml:space="preserve">{U_q: 10}</w:t>
      </w:r>
      <w:r>
        <w:br/>
      </w:r>
      <w:r>
        <w:rPr>
          <w:rStyle w:val="VerbatimChar"/>
        </w:rPr>
        <w:t xml:space="preserve">{R3: 1000, U_q: 10, R2: 1000}</w:t>
      </w:r>
      <w:r>
        <w:br/>
      </w:r>
      <w:r>
        <w:rPr>
          <w:rStyle w:val="VerbatimChar"/>
        </w:rPr>
        <w:t xml:space="preserve">{R3: 1000, U_q: 10, R2: 1000}</w:t>
      </w:r>
      <w:r>
        <w:br/>
      </w:r>
      <w:r>
        <w:rPr>
          <w:rStyle w:val="VerbatimChar"/>
        </w:rPr>
        <w:t xml:space="preserve">{R1: 1000, U_q: 10}</w:t>
      </w:r>
      <w:r>
        <w:br/>
      </w:r>
      <w:r>
        <w:rPr>
          <w:rStyle w:val="VerbatimChar"/>
        </w:rPr>
        <w:t xml:space="preserve">{R3: 1000, U_q: 10, R2: 1000}</w:t>
      </w:r>
      <w:r>
        <w:br/>
      </w:r>
      <w:r>
        <w:rPr>
          <w:rStyle w:val="VerbatimChar"/>
        </w:rPr>
        <w:t xml:space="preserve">{R1: 1000, R3: 1000, U_q: 10, R2: 1000}</w:t>
      </w:r>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79"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3">
        <w:r>
          <w:rPr>
            <w:rStyle w:val="Hyperlink"/>
          </w:rPr>
          <w:t xml:space="preserve">Abbildung 2.3</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67"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67"/>
    </w:p>
    <w:p>
      <w:pPr>
        <w:pStyle w:val="FirstParagraph"/>
      </w:pPr>
      <w:bookmarkStart w:id="68"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68"/>
    </w:p>
    <w:p>
      <w:pPr>
        <w:pStyle w:val="FirstParagraph"/>
      </w:pPr>
      <w:r>
        <w:t xml:space="preserve">Knotengleichungen</w:t>
      </w:r>
    </w:p>
    <w:p>
      <w:pPr>
        <w:pStyle w:val="BodyText"/>
      </w:pPr>
      <w:bookmarkStart w:id="69"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69"/>
    </w:p>
    <w:p>
      <w:pPr>
        <w:pStyle w:val="FirstParagraph"/>
      </w:pPr>
      <w:r>
        <w:rPr>
          <w:bCs/>
          <w:b/>
        </w:rPr>
        <w:t xml:space="preserve">5. Ohmsche Gesetze für die Widerstände anschreiben</w:t>
      </w:r>
    </w:p>
    <w:p>
      <w:pPr>
        <w:pStyle w:val="BodyText"/>
      </w:pPr>
      <w:r>
        <w:t xml:space="preserve">Ohmsches Gesetz</w:t>
      </w:r>
    </w:p>
    <w:p>
      <w:pPr>
        <w:pStyle w:val="BodyText"/>
      </w:pPr>
      <w:bookmarkStart w:id="70"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0"/>
    </w:p>
    <w:p>
      <w:pPr>
        <w:pStyle w:val="FirstParagraph"/>
      </w:pPr>
      <w:bookmarkStart w:id="71"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1"/>
    </w:p>
    <w:p>
      <w:pPr>
        <w:pStyle w:val="FirstParagraph"/>
      </w:pPr>
      <w:bookmarkStart w:id="72"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2"/>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73"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73"/>
    </w:p>
    <w:p>
      <w:pPr>
        <w:pStyle w:val="SourceCode"/>
      </w:pPr>
      <w:r>
        <w:rPr>
          <w:rStyle w:val="VerbatimChar"/>
        </w:rPr>
        <w:t xml:space="preserve">{U_q1: 10, U_q2: 1}</w:t>
      </w:r>
      <w:r>
        <w:br/>
      </w:r>
      <w:r>
        <w:rPr>
          <w:rStyle w:val="VerbatimChar"/>
        </w:rPr>
        <w:t xml:space="preserve">{R3: 1000, U_q1: 10, R2: 1000}</w:t>
      </w:r>
      <w:r>
        <w:br/>
      </w:r>
      <w:r>
        <w:rPr>
          <w:rStyle w:val="VerbatimChar"/>
        </w:rPr>
        <w:t xml:space="preserve">{R3: 1000, U_q1: 10, R2: 1000}</w:t>
      </w:r>
      <w:r>
        <w:br/>
      </w:r>
      <w:r>
        <w:rPr>
          <w:rStyle w:val="VerbatimChar"/>
        </w:rPr>
        <w:t xml:space="preserve">{R1: 1000, U_q1: 10, U_q2: 1}</w:t>
      </w:r>
      <w:r>
        <w:br/>
      </w:r>
      <w:r>
        <w:rPr>
          <w:rStyle w:val="VerbatimChar"/>
        </w:rPr>
        <w:t xml:space="preserve">{R3: 1000, U_q1: 10, R2: 1000}</w:t>
      </w:r>
      <w:r>
        <w:br/>
      </w:r>
      <w:r>
        <w:rPr>
          <w:rStyle w:val="VerbatimChar"/>
        </w:rPr>
        <w:t xml:space="preserve">{U_q1: 10, R3: 1000, R1: 1000, R2: 1000, U_q2: 1}</w:t>
      </w:r>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74"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74"/>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75"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75"/>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76"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76"/>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77"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77"/>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78"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78"/>
    </w:p>
    <w:p>
      <w:pPr>
        <w:pStyle w:val="FirstParagraph"/>
      </w:pPr>
      <m:oMathPara>
        <m:oMathParaPr>
          <m:jc m:val="center"/>
        </m:oMathParaPr>
        <m:oMath>
          <m:r>
            <m:t>I</m:t>
          </m:r>
          <m:r>
            <m:rPr>
              <m:sty m:val="p"/>
            </m:rPr>
            <m:t>=</m:t>
          </m:r>
          <m:r>
            <m:rPr>
              <m:nor/>
              <m:sty m:val="p"/>
            </m:rPr>
            <m:t>14</m:t>
          </m:r>
          <m:r>
            <m:t> </m:t>
          </m:r>
          <m:r>
            <m:rPr>
              <m:nor/>
              <m:sty m:val="p"/>
            </m:rPr>
            <m:t>mA</m:t>
          </m:r>
        </m:oMath>
      </m:oMathPara>
    </w:p>
    <w:bookmarkEnd w:id="79"/>
    <w:bookmarkStart w:id="102"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83" w:name="fig-KSA4"/>
          <w:p>
            <w:pPr>
              <w:pStyle w:val="Compact"/>
              <w:jc w:val="center"/>
            </w:pPr>
            <w:r>
              <w:drawing>
                <wp:inline>
                  <wp:extent cx="5334000" cy="3140363"/>
                  <wp:effectExtent b="0" l="0" r="0" t="0"/>
                  <wp:docPr descr="" title="" id="81" name="Picture"/>
                  <a:graphic>
                    <a:graphicData uri="http://schemas.openxmlformats.org/drawingml/2006/picture">
                      <pic:pic>
                        <pic:nvPicPr>
                          <pic:cNvPr descr="GET/Grafiken/KSA_4.png" id="82" name="Picture"/>
                          <pic:cNvPicPr>
                            <a:picLocks noChangeArrowheads="1" noChangeAspect="1"/>
                          </pic:cNvPicPr>
                        </pic:nvPicPr>
                        <pic:blipFill>
                          <a:blip r:embed="rId80"/>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83"/>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84"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84"/>
    </w:p>
    <w:p>
      <w:pPr>
        <w:pStyle w:val="FirstParagraph"/>
      </w:pPr>
      <w:bookmarkStart w:id="85"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85"/>
    </w:p>
    <w:p>
      <w:pPr>
        <w:pStyle w:val="FirstParagraph"/>
      </w:pPr>
      <w:bookmarkStart w:id="86"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86"/>
    </w:p>
    <w:p>
      <w:pPr>
        <w:pStyle w:val="FirstParagraph"/>
      </w:pPr>
      <w:r>
        <w:t xml:space="preserve">Knotengleichungen</w:t>
      </w:r>
    </w:p>
    <w:p>
      <w:pPr>
        <w:pStyle w:val="BodyText"/>
      </w:pPr>
      <w:bookmarkStart w:id="87"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87"/>
    </w:p>
    <w:p>
      <w:pPr>
        <w:pStyle w:val="FirstParagraph"/>
      </w:pPr>
      <w:bookmarkStart w:id="88"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88"/>
    </w:p>
    <w:p>
      <w:pPr>
        <w:pStyle w:val="FirstParagraph"/>
      </w:pPr>
      <w:bookmarkStart w:id="89"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89"/>
    </w:p>
    <w:p>
      <w:pPr>
        <w:pStyle w:val="FirstParagraph"/>
      </w:pPr>
      <w:r>
        <w:rPr>
          <w:bCs/>
          <w:b/>
        </w:rPr>
        <w:t xml:space="preserve">5. Ohmsche Gesetze für die Widerstände anschreiben</w:t>
      </w:r>
    </w:p>
    <w:p>
      <w:pPr>
        <w:pStyle w:val="BodyText"/>
      </w:pPr>
      <w:r>
        <w:t xml:space="preserve">Ohmsches Gesetz</w:t>
      </w:r>
    </w:p>
    <w:p>
      <w:pPr>
        <w:pStyle w:val="BodyText"/>
      </w:pPr>
      <w:bookmarkStart w:id="90"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0"/>
    </w:p>
    <w:p>
      <w:pPr>
        <w:pStyle w:val="FirstParagraph"/>
      </w:pPr>
      <w:bookmarkStart w:id="91"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1"/>
    </w:p>
    <w:p>
      <w:pPr>
        <w:pStyle w:val="FirstParagraph"/>
      </w:pPr>
      <w:bookmarkStart w:id="92"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92"/>
    </w:p>
    <w:p>
      <w:pPr>
        <w:pStyle w:val="FirstParagraph"/>
      </w:pPr>
      <w:r>
        <w:rPr>
          <w:bCs/>
          <w:b/>
        </w:rPr>
        <w:t xml:space="preserve">6. Überprüfen ob es gleich viele Gleichungen wie Unbekannte gibt</w:t>
      </w:r>
    </w:p>
    <w:p>
      <w:pPr>
        <w:pStyle w:val="BodyText"/>
      </w:pPr>
      <w:r>
        <w:t xml:space="preserve">Pass,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93"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93"/>
    </w:p>
    <w:p>
      <w:pPr>
        <w:pStyle w:val="SourceCode"/>
      </w:pPr>
      <w:r>
        <w:rPr>
          <w:rStyle w:val="VerbatimChar"/>
        </w:rPr>
        <w:t xml:space="preserve">{U_q1: 10, U_q2: 1}</w:t>
      </w:r>
      <w:r>
        <w:br/>
      </w:r>
      <w:r>
        <w:rPr>
          <w:rStyle w:val="VerbatimChar"/>
        </w:rPr>
        <w:t xml:space="preserve">{U_q1: 10, U_q2: 1}</w:t>
      </w:r>
      <w:r>
        <w:br/>
      </w:r>
      <w:r>
        <w:rPr>
          <w:rStyle w:val="VerbatimChar"/>
        </w:rPr>
        <w:t xml:space="preserve">{U_q2: 1}</w:t>
      </w:r>
      <w:r>
        <w:br/>
      </w:r>
      <w:r>
        <w:rPr>
          <w:rStyle w:val="VerbatimChar"/>
        </w:rPr>
        <w:t xml:space="preserve">{R1: 1000, U_q1: 10, U_q2: 1}</w:t>
      </w:r>
      <w:r>
        <w:br/>
      </w:r>
      <w:r>
        <w:rPr>
          <w:rStyle w:val="VerbatimChar"/>
        </w:rPr>
        <w:t xml:space="preserve">{U_q1: 10, R2: 1000, U_q2: 1}</w:t>
      </w:r>
      <w:r>
        <w:br/>
      </w:r>
      <w:r>
        <w:rPr>
          <w:rStyle w:val="VerbatimChar"/>
        </w:rPr>
        <w:t xml:space="preserve">{R3: 1000, U_q2: 1}</w:t>
      </w:r>
      <w:r>
        <w:br/>
      </w:r>
      <w:r>
        <w:rPr>
          <w:rStyle w:val="VerbatimChar"/>
        </w:rPr>
        <w:t xml:space="preserve">{U_q1: 10, R3: 1000, R1: 1000, R2: 1000, U_q2: 1}</w:t>
      </w:r>
      <w:r>
        <w:br/>
      </w:r>
      <w:r>
        <w:rPr>
          <w:rStyle w:val="VerbatimChar"/>
        </w:rPr>
        <w:t xml:space="preserve">{U_q1: 10, R3: 1000, R2: 1000, U_q2: 1}</w:t>
      </w:r>
      <w:r>
        <w:br/>
      </w:r>
      <w:r>
        <w:rPr>
          <w:rStyle w:val="VerbatimChar"/>
        </w:rPr>
        <w:t xml:space="preserve">{U_q1: 10, R1: 1000, R2: 1000, U_q2: 1}</w:t>
      </w:r>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94"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94"/>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95"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95"/>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96"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96"/>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97"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97"/>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98"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98"/>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99"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99"/>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0"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0"/>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1"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1"/>
    </w:p>
    <w:p>
      <w:pPr>
        <w:pStyle w:val="FirstParagraph"/>
      </w:pPr>
      <m:oMathPara>
        <m:oMathParaPr>
          <m:jc m:val="center"/>
        </m:oMathParaPr>
        <m:oMath>
          <m:r>
            <m:t>I</m:t>
          </m:r>
          <m:r>
            <m:rPr>
              <m:sty m:val="p"/>
            </m:rPr>
            <m:t>=</m:t>
          </m:r>
          <m:r>
            <m:rPr>
              <m:nor/>
              <m:sty m:val="p"/>
            </m:rPr>
            <m:t>18</m:t>
          </m:r>
          <m:r>
            <m:t> </m:t>
          </m:r>
          <m:r>
            <m:rPr>
              <m:nor/>
              <m:sty m:val="p"/>
            </m:rPr>
            <m:t>mA</m:t>
          </m:r>
        </m:oMath>
      </m:oMathPara>
    </w:p>
    <w:bookmarkEnd w:id="102"/>
    <w:bookmarkStart w:id="130"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06" w:name="fig-KSA5"/>
          <w:p>
            <w:pPr>
              <w:pStyle w:val="Compact"/>
              <w:jc w:val="center"/>
            </w:pPr>
            <w:r>
              <w:drawing>
                <wp:inline>
                  <wp:extent cx="4188335" cy="3708755"/>
                  <wp:effectExtent b="0" l="0" r="0" t="0"/>
                  <wp:docPr descr="" title="" id="104" name="Picture"/>
                  <a:graphic>
                    <a:graphicData uri="http://schemas.openxmlformats.org/drawingml/2006/picture">
                      <pic:pic>
                        <pic:nvPicPr>
                          <pic:cNvPr descr="GET/Grafiken/KSA_5.png" id="105" name="Picture"/>
                          <pic:cNvPicPr>
                            <a:picLocks noChangeArrowheads="1" noChangeAspect="1"/>
                          </pic:cNvPicPr>
                        </pic:nvPicPr>
                        <pic:blipFill>
                          <a:blip r:embed="rId103"/>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06"/>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 an R1</w:t>
      </w:r>
    </w:p>
    <w:p>
      <w:pPr>
        <w:pStyle w:val="BodyText"/>
      </w:pPr>
      <m:oMath>
        <m:sSub>
          <m:e>
            <m:r>
              <m:t>U</m:t>
            </m:r>
          </m:e>
          <m:sub>
            <m:r>
              <m:t>R</m:t>
            </m:r>
            <m:r>
              <m:t>2</m:t>
            </m:r>
          </m:sub>
        </m:sSub>
      </m:oMath>
      <w:r>
        <w:t xml:space="preserve"> </w:t>
      </w:r>
      <w:r>
        <w:t xml:space="preserve">… Spannung an R2</w:t>
      </w:r>
    </w:p>
    <w:p>
      <w:pPr>
        <w:pStyle w:val="BodyText"/>
      </w:pPr>
      <m:oMath>
        <m:sSub>
          <m:e>
            <m:r>
              <m:t>U</m:t>
            </m:r>
          </m:e>
          <m:sub>
            <m:r>
              <m:t>R</m:t>
            </m:r>
            <m:r>
              <m:t>3</m:t>
            </m:r>
          </m:sub>
        </m:sSub>
      </m:oMath>
      <w:r>
        <w:t xml:space="preserve"> </w:t>
      </w:r>
      <w:r>
        <w:t xml:space="preserve">… Spannung an R3</w:t>
      </w:r>
    </w:p>
    <w:p>
      <w:pPr>
        <w:pStyle w:val="BodyText"/>
      </w:pPr>
      <m:oMath>
        <m:sSub>
          <m:e>
            <m:r>
              <m:t>U</m:t>
            </m:r>
          </m:e>
          <m:sub>
            <m:r>
              <m:t>R</m:t>
            </m:r>
            <m:r>
              <m:t>4</m:t>
            </m:r>
          </m:sub>
        </m:sSub>
      </m:oMath>
      <w:r>
        <w:t xml:space="preserve"> </w:t>
      </w:r>
      <w:r>
        <w:t xml:space="preserve">… Spannung an R4</w:t>
      </w:r>
    </w:p>
    <w:p>
      <w:pPr>
        <w:pStyle w:val="BodyText"/>
      </w:pPr>
      <m:oMath>
        <m:sSub>
          <m:e>
            <m:r>
              <m:t>U</m:t>
            </m:r>
          </m:e>
          <m:sub>
            <m:r>
              <m:t>R</m:t>
            </m:r>
            <m:r>
              <m:t>5</m:t>
            </m:r>
          </m:sub>
        </m:sSub>
      </m:oMath>
      <w:r>
        <w:t xml:space="preserve"> </w:t>
      </w:r>
      <w:r>
        <w:t xml:space="preserve">… Spannung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07"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07"/>
    </w:p>
    <w:p>
      <w:pPr>
        <w:pStyle w:val="FirstParagraph"/>
      </w:pPr>
      <w:bookmarkStart w:id="108"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08"/>
    </w:p>
    <w:p>
      <w:pPr>
        <w:pStyle w:val="FirstParagraph"/>
      </w:pPr>
      <w:bookmarkStart w:id="109"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09"/>
    </w:p>
    <w:p>
      <w:pPr>
        <w:pStyle w:val="FirstParagraph"/>
      </w:pPr>
      <w:r>
        <w:t xml:space="preserve">Knotengleichungen</w:t>
      </w:r>
    </w:p>
    <w:p>
      <w:pPr>
        <w:pStyle w:val="BodyText"/>
      </w:pPr>
      <w:bookmarkStart w:id="110"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0"/>
    </w:p>
    <w:p>
      <w:pPr>
        <w:pStyle w:val="FirstParagraph"/>
      </w:pPr>
      <w:bookmarkStart w:id="111"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1"/>
    </w:p>
    <w:p>
      <w:pPr>
        <w:pStyle w:val="FirstParagraph"/>
      </w:pPr>
      <w:bookmarkStart w:id="112"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12"/>
    </w:p>
    <w:p>
      <w:pPr>
        <w:pStyle w:val="FirstParagraph"/>
      </w:pPr>
      <w:bookmarkStart w:id="113"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13"/>
    </w:p>
    <w:p>
      <w:pPr>
        <w:pStyle w:val="FirstParagraph"/>
      </w:pPr>
      <w:r>
        <w:rPr>
          <w:bCs/>
          <w:b/>
        </w:rPr>
        <w:t xml:space="preserve">5. Ohmsche Gesetze für die Widerstände anschreiben</w:t>
      </w:r>
    </w:p>
    <w:p>
      <w:pPr>
        <w:pStyle w:val="BodyText"/>
      </w:pPr>
      <w:r>
        <w:t xml:space="preserve">Ohmsches Gesetz</w:t>
      </w:r>
    </w:p>
    <w:p>
      <w:pPr>
        <w:pStyle w:val="BodyText"/>
      </w:pPr>
      <w:bookmarkStart w:id="114"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14"/>
    </w:p>
    <w:p>
      <w:pPr>
        <w:pStyle w:val="FirstParagraph"/>
      </w:pPr>
      <w:bookmarkStart w:id="115"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15"/>
    </w:p>
    <w:p>
      <w:pPr>
        <w:pStyle w:val="FirstParagraph"/>
      </w:pPr>
      <w:bookmarkStart w:id="116"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16"/>
    </w:p>
    <w:p>
      <w:pPr>
        <w:pStyle w:val="FirstParagraph"/>
      </w:pPr>
      <w:bookmarkStart w:id="117"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17"/>
    </w:p>
    <w:p>
      <w:pPr>
        <w:pStyle w:val="FirstParagraph"/>
      </w:pPr>
      <w:bookmarkStart w:id="118"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18"/>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19"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19"/>
    </w:p>
    <w:p>
      <w:pPr>
        <w:pStyle w:val="SourceCode"/>
      </w:pPr>
      <w:r>
        <w:rPr>
          <w:rStyle w:val="VerbatimChar"/>
        </w:rPr>
        <w:t xml:space="preserve">{R5: 5, U_2: 4, R3: 10, R4: 10, U_1: 12, R1: 15, R2: 10}</w:t>
      </w:r>
      <w:r>
        <w:br/>
      </w:r>
      <w:r>
        <w:rPr>
          <w:rStyle w:val="VerbatimChar"/>
        </w:rPr>
        <w:t xml:space="preserve">{R5: 5, U_2: 4, R3: 10, R4: 10, U_1: 12, R1: 15, R2: 10}</w:t>
      </w:r>
      <w:r>
        <w:br/>
      </w:r>
      <w:r>
        <w:rPr>
          <w:rStyle w:val="VerbatimChar"/>
        </w:rPr>
        <w:t xml:space="preserve">{R5: 5, U_2: 4, R3: 10, R4: 10, U_1: 12, R1: 15, R2: 10}</w:t>
      </w:r>
      <w:r>
        <w:br/>
      </w:r>
      <w:r>
        <w:rPr>
          <w:rStyle w:val="VerbatimChar"/>
        </w:rPr>
        <w:t xml:space="preserve">{R5: 5, U_2: 4, R3: 10, R4: 10, U_1: 12, R1: 15, R2: 10}</w:t>
      </w:r>
      <w:r>
        <w:br/>
      </w:r>
      <w:r>
        <w:rPr>
          <w:rStyle w:val="VerbatimChar"/>
        </w:rPr>
        <w:t xml:space="preserve">{R5: 5, U_2: 4, R3: 10, R4: 10, U_1: 12, R1: 15, R2: 10}</w:t>
      </w:r>
      <w:r>
        <w:br/>
      </w:r>
      <w:r>
        <w:rPr>
          <w:rStyle w:val="VerbatimChar"/>
        </w:rPr>
        <w:t xml:space="preserve">{R5: 5, U_2: 4, R3: 10, R4: 10, U_1: 12, R1: 15, R2: 10}</w:t>
      </w:r>
      <w:r>
        <w:br/>
      </w:r>
      <w:r>
        <w:rPr>
          <w:rStyle w:val="VerbatimChar"/>
        </w:rPr>
        <w:t xml:space="preserve">{R5: 5, U_2: 4, R3: 10, R4: 10, U_1: 12, R1: 15, R2: 10}</w:t>
      </w:r>
      <w:r>
        <w:br/>
      </w:r>
      <w:r>
        <w:rPr>
          <w:rStyle w:val="VerbatimChar"/>
        </w:rPr>
        <w:t xml:space="preserve">{R5: 5, U_2: 4, R3: 10, R4: 10, U_1: 12, R1: 15, R2: 10}</w:t>
      </w:r>
      <w:r>
        <w:br/>
      </w:r>
      <w:r>
        <w:rPr>
          <w:rStyle w:val="VerbatimChar"/>
        </w:rPr>
        <w:t xml:space="preserve">{R5: 5, U_2: 4, R3: 10, R4: 10, U_1: 12, R1: 15, R2: 10}</w:t>
      </w:r>
      <w:r>
        <w:br/>
      </w:r>
      <w:r>
        <w:rPr>
          <w:rStyle w:val="VerbatimChar"/>
        </w:rPr>
        <w:t xml:space="preserve">{R5: 5, U_2: 4, R3: 10, R4: 10, U_1: 12, R1: 15, R2: 10}</w:t>
      </w:r>
      <w:r>
        <w:br/>
      </w:r>
      <w:r>
        <w:rPr>
          <w:rStyle w:val="VerbatimChar"/>
        </w:rPr>
        <w:t xml:space="preserve">{R5: 5, U_2: 4, R3: 10, R4: 10, U_1: 12, R1: 15, R2: 10}</w:t>
      </w:r>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0"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0"/>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1"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1"/>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22"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22"/>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23"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23"/>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24"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24"/>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25"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25"/>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26"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26"/>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27"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27"/>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28"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28"/>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29"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29"/>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0"/>
    <w:bookmarkEnd w:id="131"/>
    <w:bookmarkStart w:id="158" w:name="der-transistor"/>
    <w:p>
      <w:pPr>
        <w:pStyle w:val="Heading1"/>
      </w:pPr>
      <w:r>
        <w:t xml:space="preserve">3. Der Transistor</w:t>
      </w:r>
    </w:p>
    <w:bookmarkStart w:id="139" w:name="sec-MOSFET"/>
    <w:p>
      <w:pPr>
        <w:pStyle w:val="Heading2"/>
      </w:pPr>
      <w:r>
        <w:t xml:space="preserve">3.1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35" w:name="fig-n-Channel_switch"/>
          <w:p>
            <w:pPr>
              <w:pStyle w:val="Compact"/>
              <w:jc w:val="center"/>
            </w:pPr>
            <w:r>
              <w:drawing>
                <wp:inline>
                  <wp:extent cx="3724275" cy="3495675"/>
                  <wp:effectExtent b="0" l="0" r="0" t="0"/>
                  <wp:docPr descr="" title="" id="133" name="Picture"/>
                  <a:graphic>
                    <a:graphicData uri="http://schemas.openxmlformats.org/drawingml/2006/picture">
                      <pic:pic>
                        <pic:nvPicPr>
                          <pic:cNvPr descr="Transistoren/Grafiken/NChannelenhancementSwitch.svg" id="1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2"/>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35"/>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38" w:name="aufgabe"/>
    <w:p>
      <w:pPr>
        <w:pStyle w:val="Heading3"/>
      </w:pPr>
      <w:r>
        <w:t xml:space="preserve">3.1.1 Aufgabe</w:t>
      </w:r>
    </w:p>
    <w:bookmarkStart w:id="136" w:name="teil-1-n-kanal-anreicherungstyp"/>
    <w:p>
      <w:pPr>
        <w:pStyle w:val="Heading4"/>
      </w:pPr>
      <w:r>
        <w:t xml:space="preserve">3.1.1.1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136"/>
    <w:bookmarkStart w:id="137"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37"/>
    <w:bookmarkEnd w:id="138"/>
    <w:bookmarkEnd w:id="139"/>
    <w:bookmarkStart w:id="157" w:name="sec-BJT"/>
    <w:p>
      <w:pPr>
        <w:pStyle w:val="Heading2"/>
      </w:pPr>
      <w:r>
        <w:t xml:space="preserve">3.2 Bipolartransistor</w:t>
      </w:r>
    </w:p>
    <w:bookmarkStart w:id="144"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43" w:name="fig-BJT_Emitter_mit_Re"/>
          <w:p>
            <w:pPr>
              <w:pStyle w:val="Compact"/>
              <w:jc w:val="center"/>
            </w:pPr>
            <w:r>
              <w:drawing>
                <wp:inline>
                  <wp:extent cx="5334000" cy="3876360"/>
                  <wp:effectExtent b="0" l="0" r="0" t="0"/>
                  <wp:docPr descr="" title="" id="141" name="Picture"/>
                  <a:graphic>
                    <a:graphicData uri="http://schemas.openxmlformats.org/drawingml/2006/picture">
                      <pic:pic>
                        <pic:nvPicPr>
                          <pic:cNvPr descr="Transistoren/Grafiken/BJTEmitterschaltung_mitRE.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43"/>
        </w:tc>
      </w:tr>
    </w:tbl>
    <w:bookmarkEnd w:id="144"/>
    <w:bookmarkStart w:id="151" w:name="aufgabenstellung"/>
    <w:p>
      <w:pPr>
        <w:pStyle w:val="Heading3"/>
      </w:pPr>
      <w:r>
        <w:t xml:space="preserve">3.2.2 Aufgabenstellung</w:t>
      </w:r>
    </w:p>
    <w:p>
      <w:pPr>
        <w:pStyle w:val="FirstParagraph"/>
      </w:pPr>
      <w:r>
        <w:t xml:space="preserve">Entwerfen Sie einen Spannungsverstärker mit einer Verstärkung.</w:t>
      </w:r>
    </w:p>
    <w:p>
      <w:pPr>
        <w:pStyle w:val="BodyText"/>
      </w:pPr>
      <w:bookmarkStart w:id="145"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45"/>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0" w:name="gegeben"/>
    <w:p>
      <w:pPr>
        <w:pStyle w:val="Heading4"/>
      </w:pPr>
      <w:r>
        <w:t xml:space="preserve">3.2.2.1 Gegeben</w:t>
      </w:r>
    </w:p>
    <w:bookmarkStart w:id="146"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46"/>
    <w:bookmarkStart w:id="147"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47"/>
    <w:bookmarkStart w:id="149"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48"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48"/>
    </w:p>
    <w:bookmarkEnd w:id="149"/>
    <w:bookmarkEnd w:id="150"/>
    <w:bookmarkEnd w:id="151"/>
    <w:bookmarkStart w:id="155"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52"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52"/>
    </w:p>
    <w:p>
      <w:pPr>
        <w:pStyle w:val="FirstParagraph"/>
      </w:pPr>
      <w:bookmarkStart w:id="153"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53"/>
    </w:p>
    <w:p>
      <w:pPr>
        <w:pStyle w:val="FirstParagraph"/>
      </w:pPr>
      <w:bookmarkStart w:id="154"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54"/>
    </w:p>
    <w:p>
      <w:pPr>
        <w:pStyle w:val="SourceCode"/>
      </w:pPr>
      <w:r>
        <w:rPr>
          <w:rStyle w:val="VerbatimChar"/>
        </w:rPr>
        <w:t xml:space="preserve">{I_c: 0.001, v_U: -20, U_bat: 10}</w:t>
      </w:r>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55"/>
    <w:bookmarkStart w:id="156"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56"/>
    <w:bookmarkEnd w:id="157"/>
    <w:bookmarkEnd w:id="158"/>
    <w:bookmarkStart w:id="277"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162" w:name="fig-BJT-AP_Ruhestrom"/>
          <w:p>
            <w:pPr>
              <w:pStyle w:val="Compact"/>
              <w:jc w:val="center"/>
            </w:pPr>
            <w:r>
              <w:drawing>
                <wp:inline>
                  <wp:extent cx="5334000" cy="4960478"/>
                  <wp:effectExtent b="0" l="0" r="0" t="0"/>
                  <wp:docPr descr="" title="" id="160" name="Picture"/>
                  <a:graphic>
                    <a:graphicData uri="http://schemas.openxmlformats.org/drawingml/2006/picture">
                      <pic:pic>
                        <pic:nvPicPr>
                          <pic:cNvPr descr="Projekte/Grafiken/BJT_Kennlinie_AP_Ruhestrom.png" id="161" name="Picture"/>
                          <pic:cNvPicPr>
                            <a:picLocks noChangeArrowheads="1" noChangeAspect="1"/>
                          </pic:cNvPicPr>
                        </pic:nvPicPr>
                        <pic:blipFill>
                          <a:blip r:embed="rId159"/>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62"/>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1"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166" w:name="fig-BJT_Gegen"/>
          <w:p>
            <w:pPr>
              <w:pStyle w:val="Compact"/>
              <w:jc w:val="center"/>
            </w:pPr>
            <w:r>
              <w:drawing>
                <wp:inline>
                  <wp:extent cx="5334000" cy="4870760"/>
                  <wp:effectExtent b="0" l="0" r="0" t="0"/>
                  <wp:docPr descr="" title="" id="164" name="Picture"/>
                  <a:graphic>
                    <a:graphicData uri="http://schemas.openxmlformats.org/drawingml/2006/picture">
                      <pic:pic>
                        <pic:nvPicPr>
                          <pic:cNvPr descr="Projekte/Grafiken/01_LV_Gegentaktendstufe.png" id="165" name="Picture"/>
                          <pic:cNvPicPr>
                            <a:picLocks noChangeArrowheads="1" noChangeAspect="1"/>
                          </pic:cNvPicPr>
                        </pic:nvPicPr>
                        <pic:blipFill>
                          <a:blip r:embed="rId163"/>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66"/>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170" w:name="fig-BJT_Gegen_Sim1"/>
          <w:p>
            <w:pPr>
              <w:pStyle w:val="Compact"/>
              <w:jc w:val="center"/>
            </w:pPr>
            <w:r>
              <w:drawing>
                <wp:inline>
                  <wp:extent cx="5334000" cy="7620000"/>
                  <wp:effectExtent b="0" l="0" r="0" t="0"/>
                  <wp:docPr descr="" title="" id="168" name="Picture"/>
                  <a:graphic>
                    <a:graphicData uri="http://schemas.openxmlformats.org/drawingml/2006/picture">
                      <pic:pic>
                        <pic:nvPicPr>
                          <pic:cNvPr descr="Projekte/Grafiken/01_Transient%20Analysis.svg" id="1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1"/>
    <w:bookmarkStart w:id="180"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175" w:name="fig-BJT_GegenRueck"/>
          <w:p>
            <w:pPr>
              <w:pStyle w:val="Compact"/>
              <w:jc w:val="center"/>
            </w:pPr>
            <w:r>
              <w:drawing>
                <wp:inline>
                  <wp:extent cx="5334000" cy="4019641"/>
                  <wp:effectExtent b="0" l="0" r="0" t="0"/>
                  <wp:docPr descr="" title="" id="173" name="Picture"/>
                  <a:graphic>
                    <a:graphicData uri="http://schemas.openxmlformats.org/drawingml/2006/picture">
                      <pic:pic>
                        <pic:nvPicPr>
                          <pic:cNvPr descr="Projekte/Grafiken/02_LV_Rueckkopplung.png" id="174" name="Picture"/>
                          <pic:cNvPicPr>
                            <a:picLocks noChangeArrowheads="1" noChangeAspect="1"/>
                          </pic:cNvPicPr>
                        </pic:nvPicPr>
                        <pic:blipFill>
                          <a:blip r:embed="rId172"/>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75"/>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179" w:name="fig-BJT_GegenRueckSim"/>
          <w:p>
            <w:pPr>
              <w:pStyle w:val="Compact"/>
              <w:jc w:val="center"/>
            </w:pPr>
            <w:r>
              <w:drawing>
                <wp:inline>
                  <wp:extent cx="5334000" cy="7620000"/>
                  <wp:effectExtent b="0" l="0" r="0" t="0"/>
                  <wp:docPr descr="" title="" id="177" name="Picture"/>
                  <a:graphic>
                    <a:graphicData uri="http://schemas.openxmlformats.org/drawingml/2006/picture">
                      <pic:pic>
                        <pic:nvPicPr>
                          <pic:cNvPr descr="Projekte/Grafiken/02_Transient%20Analysis.svg" id="1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6"/>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79"/>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0"/>
    <w:bookmarkStart w:id="195"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184" w:name="fig-BJT_GegenRueckVor"/>
          <w:p>
            <w:pPr>
              <w:pStyle w:val="Compact"/>
              <w:jc w:val="center"/>
            </w:pPr>
            <w:r>
              <w:drawing>
                <wp:inline>
                  <wp:extent cx="5334000" cy="3281896"/>
                  <wp:effectExtent b="0" l="0" r="0" t="0"/>
                  <wp:docPr descr="" title="" id="182" name="Picture"/>
                  <a:graphic>
                    <a:graphicData uri="http://schemas.openxmlformats.org/drawingml/2006/picture">
                      <pic:pic>
                        <pic:nvPicPr>
                          <pic:cNvPr descr="Projekte/Grafiken/03_LV_Vorspannung.png" id="183" name="Picture"/>
                          <pic:cNvPicPr>
                            <a:picLocks noChangeArrowheads="1" noChangeAspect="1"/>
                          </pic:cNvPicPr>
                        </pic:nvPicPr>
                        <pic:blipFill>
                          <a:blip r:embed="rId181"/>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84"/>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188" w:name="fig-BJT_GegenRueckVorDCSw"/>
          <w:p>
            <w:pPr>
              <w:pStyle w:val="Compact"/>
              <w:jc w:val="center"/>
            </w:pPr>
            <w:r>
              <w:drawing>
                <wp:inline>
                  <wp:extent cx="5334000" cy="3810000"/>
                  <wp:effectExtent b="0" l="0" r="0" t="0"/>
                  <wp:docPr descr="" title="" id="186" name="Picture"/>
                  <a:graphic>
                    <a:graphicData uri="http://schemas.openxmlformats.org/drawingml/2006/picture">
                      <pic:pic>
                        <pic:nvPicPr>
                          <pic:cNvPr descr="Projekte/Grafiken/03_DCSweepVorspannung.svg" id="1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5"/>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8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192" w:name="fig-BJT_GegenRueckVorSim1"/>
          <w:p>
            <w:pPr>
              <w:pStyle w:val="Compact"/>
              <w:jc w:val="center"/>
            </w:pPr>
            <w:r>
              <w:drawing>
                <wp:inline>
                  <wp:extent cx="5334000" cy="7620000"/>
                  <wp:effectExtent b="0" l="0" r="0" t="0"/>
                  <wp:docPr descr="" title="" id="190" name="Picture"/>
                  <a:graphic>
                    <a:graphicData uri="http://schemas.openxmlformats.org/drawingml/2006/picture">
                      <pic:pic>
                        <pic:nvPicPr>
                          <pic:cNvPr descr="Projekte/Grafiken/03_Transient%20Analysis.svg" id="1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19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C:\Users\leo\AppData\Local\Programs\Quarto\share\formats\docx\note.png" id="19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195"/>
    <w:bookmarkStart w:id="248"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199" w:name="fig-BJT_GegenRueckVorReal2"/>
          <w:p>
            <w:pPr>
              <w:pStyle w:val="Compact"/>
              <w:jc w:val="center"/>
            </w:pPr>
            <w:r>
              <w:drawing>
                <wp:inline>
                  <wp:extent cx="2097365" cy="1470713"/>
                  <wp:effectExtent b="0" l="0" r="0" t="0"/>
                  <wp:docPr descr="" title="" id="197" name="Picture"/>
                  <a:graphic>
                    <a:graphicData uri="http://schemas.openxmlformats.org/drawingml/2006/picture">
                      <pic:pic>
                        <pic:nvPicPr>
                          <pic:cNvPr descr="Projekte/Grafiken/04.01_LV_Reale_Vorspannung.png" id="198" name="Picture"/>
                          <pic:cNvPicPr>
                            <a:picLocks noChangeArrowheads="1" noChangeAspect="1"/>
                          </pic:cNvPicPr>
                        </pic:nvPicPr>
                        <pic:blipFill>
                          <a:blip r:embed="rId196"/>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199"/>
        </w:tc>
      </w:tr>
    </w:tbl>
    <w:p>
      <w:pPr>
        <w:pStyle w:val="BodyText"/>
      </w:pPr>
      <w:r>
        <w:t xml:space="preserve">Der Ablauf ist wie folgt und gilt für alle Dimensionierungsaufgaben von Schaltungen.</w:t>
      </w:r>
    </w:p>
    <w:bookmarkStart w:id="222"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SourceCode"/>
      </w:pPr>
      <w:r>
        <w:rPr>
          <w:rStyle w:val="VerbatimChar"/>
        </w:rPr>
        <w:t xml:space="preserve">{I_Lmax: 0.0005}</w:t>
      </w:r>
      <w:r>
        <w:br/>
      </w:r>
      <w:r>
        <w:rPr>
          <w:rStyle w:val="VerbatimChar"/>
        </w:rPr>
        <w:t xml:space="preserve">{U_BE: 0.7}</w:t>
      </w:r>
      <w:r>
        <w:br/>
      </w:r>
      <w:r>
        <w:rPr>
          <w:rStyle w:val="VerbatimChar"/>
        </w:rPr>
        <w:t xml:space="preserve">{U_2: 0.700000000000000, U_out: 1.35}</w:t>
      </w:r>
      <w:r>
        <w:br/>
      </w:r>
      <w:r>
        <w:rPr>
          <w:rStyle w:val="VerbatimChar"/>
        </w:rPr>
        <w:t xml:space="preserve">{I_Lmax: 0.0005}</w:t>
      </w:r>
      <w:r>
        <w:br/>
      </w:r>
      <w:r>
        <w:rPr>
          <w:rStyle w:val="VerbatimChar"/>
        </w:rPr>
        <w:t xml:space="preserve">{I_C: 0.00855855855855856}</w:t>
      </w:r>
      <w:r>
        <w:br/>
      </w:r>
      <w:r>
        <w:rPr>
          <w:rStyle w:val="VerbatimChar"/>
        </w:rPr>
        <w:t xml:space="preserve">{I_C: 0.00855855855855856}</w:t>
      </w:r>
      <w:r>
        <w:br/>
      </w:r>
      <w:r>
        <w:rPr>
          <w:rStyle w:val="VerbatimChar"/>
        </w:rPr>
        <w:t xml:space="preserve">{I_B: 8.55855855855856e-5}</w:t>
      </w:r>
      <w:r>
        <w:br/>
      </w:r>
      <w:r>
        <w:rPr>
          <w:rStyle w:val="VerbatimChar"/>
        </w:rPr>
        <w:t xml:space="preserve">{I_2: 0.000855855855855856, U_2: 0.700000000000000}</w:t>
      </w:r>
      <w:r>
        <w:br/>
      </w:r>
      <w:r>
        <w:rPr>
          <w:rStyle w:val="VerbatimChar"/>
        </w:rPr>
        <w:t xml:space="preserve">{I_1: 0.000941441441441441, U_1: 0.650000000000000}</w:t>
      </w:r>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200"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0"/>
    </w:p>
    <w:p>
      <w:pPr>
        <w:pStyle w:val="FirstParagraph"/>
      </w:pPr>
      <w:bookmarkStart w:id="201"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1"/>
    </w:p>
    <w:p>
      <w:pPr>
        <w:pStyle w:val="FirstParagraph"/>
      </w:pPr>
      <w:bookmarkStart w:id="202"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4.3</m:t>
              </m:r>
            </m:e>
          </m:d>
        </m:oMath>
      </m:oMathPara>
      <w:bookmarkEnd w:id="202"/>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203"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03"/>
    </w:p>
    <w:p>
      <w:pPr>
        <w:pStyle w:val="FirstParagraph"/>
      </w:pPr>
      <w:bookmarkStart w:id="204"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04"/>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05"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05"/>
    </w:p>
    <w:p>
      <w:pPr>
        <w:pStyle w:val="FirstParagraph"/>
      </w:pPr>
      <w:bookmarkStart w:id="206"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06"/>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 wird.</w:t>
      </w:r>
    </w:p>
    <w:p>
      <w:pPr>
        <w:pStyle w:val="BodyText"/>
      </w:pPr>
      <w:bookmarkStart w:id="207"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07"/>
    </w:p>
    <w:p>
      <w:pPr>
        <w:pStyle w:val="FirstParagraph"/>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08"/>
    </w:p>
    <w:p>
      <w:pPr>
        <w:pStyle w:val="FirstParagraph"/>
      </w:pPr>
      <w:bookmarkStart w:id="209"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09"/>
    </w:p>
    <w:p>
      <w:pPr>
        <w:pStyle w:val="FirstParagraph"/>
      </w:pPr>
      <w:bookmarkStart w:id="210"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0"/>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1"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1"/>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12"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12"/>
    </w:p>
    <w:p>
      <w:pPr>
        <w:pStyle w:val="FirstParagraph"/>
      </w:pPr>
      <w:bookmarkStart w:id="213"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4.14</m:t>
              </m:r>
            </m:e>
          </m:d>
        </m:oMath>
      </m:oMathPara>
      <w:bookmarkEnd w:id="213"/>
    </w:p>
    <w:p>
      <w:pPr>
        <w:pStyle w:val="FirstParagraph"/>
      </w:pPr>
      <w:bookmarkStart w:id="214"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4.15</m:t>
              </m:r>
            </m:e>
          </m:d>
        </m:oMath>
      </m:oMathPara>
      <w:bookmarkEnd w:id="214"/>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15"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15"/>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16"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16"/>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17"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17"/>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18"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18"/>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19"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19"/>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C:\Users\leo\AppData\Local\Programs\Quarto\share\formats\docx\note.png" id="22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22"/>
    <w:bookmarkStart w:id="235"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26" w:name="fig-BJT_LV_RealeSpannungsquelleSim1"/>
          <w:p>
            <w:pPr>
              <w:pStyle w:val="Compact"/>
              <w:jc w:val="center"/>
            </w:pPr>
            <w:r>
              <w:drawing>
                <wp:inline>
                  <wp:extent cx="5334000" cy="3178208"/>
                  <wp:effectExtent b="0" l="0" r="0" t="0"/>
                  <wp:docPr descr="" title="" id="224" name="Picture"/>
                  <a:graphic>
                    <a:graphicData uri="http://schemas.openxmlformats.org/drawingml/2006/picture">
                      <pic:pic>
                        <pic:nvPicPr>
                          <pic:cNvPr descr="Projekte/Grafiken/04.01_LV_RealeSpannungsquelleSim1.png" id="225" name="Picture"/>
                          <pic:cNvPicPr>
                            <a:picLocks noChangeArrowheads="1" noChangeAspect="1"/>
                          </pic:cNvPicPr>
                        </pic:nvPicPr>
                        <pic:blipFill>
                          <a:blip r:embed="rId223"/>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26"/>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0" w:name="fig-BJT_LV_RealeSpannungsquelleSim2"/>
          <w:p>
            <w:pPr>
              <w:pStyle w:val="Compact"/>
              <w:jc w:val="center"/>
            </w:pPr>
            <w:r>
              <w:drawing>
                <wp:inline>
                  <wp:extent cx="5334000" cy="3759286"/>
                  <wp:effectExtent b="0" l="0" r="0" t="0"/>
                  <wp:docPr descr="" title="" id="228" name="Picture"/>
                  <a:graphic>
                    <a:graphicData uri="http://schemas.openxmlformats.org/drawingml/2006/picture">
                      <pic:pic>
                        <pic:nvPicPr>
                          <pic:cNvPr descr="Projekte/Grafiken/04.01_LV_RealeSpannungsquelleSim2.png" id="229" name="Picture"/>
                          <pic:cNvPicPr>
                            <a:picLocks noChangeArrowheads="1" noChangeAspect="1"/>
                          </pic:cNvPicPr>
                        </pic:nvPicPr>
                        <pic:blipFill>
                          <a:blip r:embed="rId227"/>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0"/>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34" w:name="fig-BJT_LV_RealeSpannungsquelleSim3"/>
          <w:p>
            <w:pPr>
              <w:pStyle w:val="Compact"/>
              <w:jc w:val="center"/>
            </w:pPr>
            <w:r>
              <w:drawing>
                <wp:inline>
                  <wp:extent cx="5334000" cy="3069197"/>
                  <wp:effectExtent b="0" l="0" r="0" t="0"/>
                  <wp:docPr descr="" title="" id="232" name="Picture"/>
                  <a:graphic>
                    <a:graphicData uri="http://schemas.openxmlformats.org/drawingml/2006/picture">
                      <pic:pic>
                        <pic:nvPicPr>
                          <pic:cNvPr descr="Projekte/Grafiken/04.01_LV_RealeSpannungsquelleSim3.png" id="233" name="Picture"/>
                          <pic:cNvPicPr>
                            <a:picLocks noChangeArrowheads="1" noChangeAspect="1"/>
                          </pic:cNvPicPr>
                        </pic:nvPicPr>
                        <pic:blipFill>
                          <a:blip r:embed="rId231"/>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34"/>
        </w:tc>
      </w:tr>
    </w:tbl>
    <w:bookmarkEnd w:id="235"/>
    <w:bookmarkStart w:id="236"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236"/>
    <w:bookmarkStart w:id="247"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40" w:name="fig-BJT_GegenRueckVorReal3"/>
          <w:p>
            <w:pPr>
              <w:pStyle w:val="Compact"/>
              <w:jc w:val="center"/>
            </w:pPr>
            <w:r>
              <w:drawing>
                <wp:inline>
                  <wp:extent cx="5334000" cy="3340971"/>
                  <wp:effectExtent b="0" l="0" r="0" t="0"/>
                  <wp:docPr descr="" title="" id="238" name="Picture"/>
                  <a:graphic>
                    <a:graphicData uri="http://schemas.openxmlformats.org/drawingml/2006/picture">
                      <pic:pic>
                        <pic:nvPicPr>
                          <pic:cNvPr descr="Projekte/Grafiken/04_LV_Reale_VorspannungDCSim1.png" id="239" name="Picture"/>
                          <pic:cNvPicPr>
                            <a:picLocks noChangeArrowheads="1" noChangeAspect="1"/>
                          </pic:cNvPicPr>
                        </pic:nvPicPr>
                        <pic:blipFill>
                          <a:blip r:embed="rId237"/>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0"/>
        </w:tc>
      </w:tr>
    </w:tbl>
    <w:p/>
    <w:tbl>
      <w:tblPr>
        <w:tblStyle w:val="Table"/>
        <w:tblW w:type="pct" w:w="5000"/>
        <w:tblLook w:firstRow="0" w:lastRow="0" w:firstColumn="0" w:lastColumn="0" w:noHBand="0" w:noVBand="0" w:val="0000"/>
        <w:jc w:val="start"/>
        <w:tblLayout w:type="fixed"/>
      </w:tblPr>
      <w:tblGrid>
        <w:gridCol w:w="7920"/>
      </w:tblGrid>
      <w:tr>
        <w:tc>
          <w:tcPr/>
          <w:bookmarkStart w:id="244" w:name="fig-BJT_GegenRueckVorReal4"/>
          <w:p>
            <w:pPr>
              <w:pStyle w:val="Compact"/>
              <w:jc w:val="center"/>
            </w:pPr>
            <w:r>
              <w:drawing>
                <wp:inline>
                  <wp:extent cx="5334000" cy="7620000"/>
                  <wp:effectExtent b="0" l="0" r="0" t="0"/>
                  <wp:docPr descr="" title="" id="242" name="Picture"/>
                  <a:graphic>
                    <a:graphicData uri="http://schemas.openxmlformats.org/drawingml/2006/picture">
                      <pic:pic>
                        <pic:nvPicPr>
                          <pic:cNvPr descr="Projekte/Grafiken/04_Transient%20Analysis.svg" id="2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4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5" name="Picture"/>
                  <a:graphic>
                    <a:graphicData uri="http://schemas.openxmlformats.org/drawingml/2006/picture">
                      <pic:pic>
                        <pic:nvPicPr>
                          <pic:cNvPr descr="C:\Users\leo\AppData\Local\Programs\Quarto\share\formats\docx\note.png" id="2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47"/>
    <w:bookmarkEnd w:id="248"/>
    <w:bookmarkStart w:id="257"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252" w:name="fig-BJT_GegenRueckVorRealStromDCSim1"/>
          <w:p>
            <w:pPr>
              <w:pStyle w:val="Compact"/>
              <w:jc w:val="center"/>
            </w:pPr>
            <w:r>
              <w:drawing>
                <wp:inline>
                  <wp:extent cx="5334000" cy="3391859"/>
                  <wp:effectExtent b="0" l="0" r="0" t="0"/>
                  <wp:docPr descr="" title="" id="250" name="Picture"/>
                  <a:graphic>
                    <a:graphicData uri="http://schemas.openxmlformats.org/drawingml/2006/picture">
                      <pic:pic>
                        <pic:nvPicPr>
                          <pic:cNvPr descr="Projekte/Grafiken/05_LV_StromquellenDCSim1.png" id="251" name="Picture"/>
                          <pic:cNvPicPr>
                            <a:picLocks noChangeArrowheads="1" noChangeAspect="1"/>
                          </pic:cNvPicPr>
                        </pic:nvPicPr>
                        <pic:blipFill>
                          <a:blip r:embed="rId249"/>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52"/>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56" w:name="fig-BJT_GegenRueckVorRealStromTRANSim1"/>
          <w:p>
            <w:pPr>
              <w:pStyle w:val="Compact"/>
              <w:jc w:val="center"/>
            </w:pPr>
            <w:r>
              <w:drawing>
                <wp:inline>
                  <wp:extent cx="5334000" cy="7620000"/>
                  <wp:effectExtent b="0" l="0" r="0" t="0"/>
                  <wp:docPr descr="" title="" id="254" name="Picture"/>
                  <a:graphic>
                    <a:graphicData uri="http://schemas.openxmlformats.org/drawingml/2006/picture">
                      <pic:pic>
                        <pic:nvPicPr>
                          <pic:cNvPr descr="Projekte/Grafiken/05_Transient%20Analysis.svg" id="2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3"/>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5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57"/>
    <w:bookmarkStart w:id="274"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261" w:name="fig-BJT_GegenRueckVorRealStromOPSim1"/>
          <w:p>
            <w:pPr>
              <w:pStyle w:val="Compact"/>
              <w:jc w:val="center"/>
            </w:pPr>
            <w:r>
              <w:drawing>
                <wp:inline>
                  <wp:extent cx="5334000" cy="2446372"/>
                  <wp:effectExtent b="0" l="0" r="0" t="0"/>
                  <wp:docPr descr="" title="" id="259" name="Picture"/>
                  <a:graphic>
                    <a:graphicData uri="http://schemas.openxmlformats.org/drawingml/2006/picture">
                      <pic:pic>
                        <pic:nvPicPr>
                          <pic:cNvPr descr="Projekte/Grafiken/05.01_RealeStromquellenOPSim1.png" id="260" name="Picture"/>
                          <pic:cNvPicPr>
                            <a:picLocks noChangeArrowheads="1" noChangeAspect="1"/>
                          </pic:cNvPicPr>
                        </pic:nvPicPr>
                        <pic:blipFill>
                          <a:blip r:embed="rId258"/>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1"/>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Layout w:type="fixed"/>
      </w:tblPr>
      <w:tblGrid>
        <w:gridCol w:w="7920"/>
      </w:tblGrid>
      <w:tr>
        <w:tc>
          <w:tcPr/>
          <w:bookmarkStart w:id="265" w:name="X719cdff3826e19c00e00b5b4a6fd8381ad90f32"/>
          <w:p>
            <w:pPr>
              <w:pStyle w:val="Compact"/>
              <w:jc w:val="center"/>
            </w:pPr>
            <w:r>
              <w:drawing>
                <wp:inline>
                  <wp:extent cx="5334000" cy="3240949"/>
                  <wp:effectExtent b="0" l="0" r="0" t="0"/>
                  <wp:docPr descr="" title="" id="263" name="Picture"/>
                  <a:graphic>
                    <a:graphicData uri="http://schemas.openxmlformats.org/drawingml/2006/picture">
                      <pic:pic>
                        <pic:nvPicPr>
                          <pic:cNvPr descr="Projekte/Grafiken/05.01_RealeStromquelleDCSim1.png" id="264" name="Picture"/>
                          <pic:cNvPicPr>
                            <a:picLocks noChangeArrowheads="1" noChangeAspect="1"/>
                          </pic:cNvPicPr>
                        </pic:nvPicPr>
                        <pic:blipFill>
                          <a:blip r:embed="rId262"/>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65"/>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269" w:name="fig-BJT_06_LV_Real"/>
          <w:p>
            <w:pPr>
              <w:pStyle w:val="Compact"/>
              <w:jc w:val="center"/>
            </w:pPr>
            <w:r>
              <w:drawing>
                <wp:inline>
                  <wp:extent cx="5334000" cy="4903767"/>
                  <wp:effectExtent b="0" l="0" r="0" t="0"/>
                  <wp:docPr descr="" title="" id="267" name="Picture"/>
                  <a:graphic>
                    <a:graphicData uri="http://schemas.openxmlformats.org/drawingml/2006/picture">
                      <pic:pic>
                        <pic:nvPicPr>
                          <pic:cNvPr descr="Projekte/Grafiken/06_LV_Real.png" id="268" name="Picture"/>
                          <pic:cNvPicPr>
                            <a:picLocks noChangeArrowheads="1" noChangeAspect="1"/>
                          </pic:cNvPicPr>
                        </pic:nvPicPr>
                        <pic:blipFill>
                          <a:blip r:embed="rId266"/>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69"/>
        </w:tc>
      </w:tr>
    </w:tbl>
    <w:p/>
    <w:tbl>
      <w:tblPr>
        <w:tblStyle w:val="Table"/>
        <w:tblW w:type="pct" w:w="5000"/>
        <w:tblLook w:firstRow="0" w:lastRow="0" w:firstColumn="0" w:lastColumn="0" w:noHBand="0" w:noVBand="0" w:val="0000"/>
        <w:jc w:val="start"/>
        <w:tblLayout w:type="fixed"/>
      </w:tblPr>
      <w:tblGrid>
        <w:gridCol w:w="7920"/>
      </w:tblGrid>
      <w:tr>
        <w:tc>
          <w:tcPr/>
          <w:bookmarkStart w:id="273" w:name="fig-BJT_06_LV_Real_TRANSim1"/>
          <w:p>
            <w:pPr>
              <w:pStyle w:val="Compact"/>
              <w:jc w:val="center"/>
            </w:pPr>
            <w:r>
              <w:drawing>
                <wp:inline>
                  <wp:extent cx="5334000" cy="7620000"/>
                  <wp:effectExtent b="0" l="0" r="0" t="0"/>
                  <wp:docPr descr="" title="" id="271" name="Picture"/>
                  <a:graphic>
                    <a:graphicData uri="http://schemas.openxmlformats.org/drawingml/2006/picture">
                      <pic:pic>
                        <pic:nvPicPr>
                          <pic:cNvPr descr="Projekte/Grafiken/06_Transient%20Analysis.svg" id="2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0"/>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73"/>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4.8</w:t>
        </w:r>
      </w:hyperlink>
      <w:r>
        <w:t xml:space="preserve">.</w:t>
      </w:r>
    </w:p>
    <w:bookmarkEnd w:id="274"/>
    <w:bookmarkStart w:id="275" w:name="praktische-herangehensweise"/>
    <w:p>
      <w:pPr>
        <w:pStyle w:val="Heading2"/>
      </w:pPr>
      <w:r>
        <w:t xml:space="preserve">4.7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75"/>
    <w:bookmarkStart w:id="276" w:name="sec-AbwErw"/>
    <w:p>
      <w:pPr>
        <w:pStyle w:val="Heading2"/>
      </w:pPr>
      <w:r>
        <w:t xml:space="preserve">4.8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76"/>
    <w:bookmarkEnd w:id="277"/>
    <w:bookmarkStart w:id="340"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 der Hersteller lesen und verstehen</w:t>
      </w:r>
    </w:p>
    <w:p>
      <w:pPr>
        <w:pStyle w:val="FirstParagraph"/>
      </w:pPr>
      <w:r>
        <w:rPr>
          <w:bCs/>
          <w:b/>
        </w:rPr>
        <w:t xml:space="preserve">Hilfestellung</w:t>
      </w:r>
    </w:p>
    <w:p>
      <w:pPr>
        <w:pStyle w:val="BodyText"/>
      </w:pPr>
      <w:hyperlink r:id="rId278">
        <w:r>
          <w:rPr>
            <w:rStyle w:val="Hyperlink"/>
          </w:rPr>
          <w:t xml:space="preserve">Video: Hierarchisches Design</w:t>
        </w:r>
      </w:hyperlink>
      <w:r>
        <w:br/>
      </w:r>
      <w:hyperlink r:id="rId279">
        <w:r>
          <w:rPr>
            <w:rStyle w:val="Hyperlink"/>
          </w:rPr>
          <w:t xml:space="preserve">Altium Hilfe: Multi-sheet &amp; Hierarchical Designs in Altium Designer</w:t>
        </w:r>
      </w:hyperlink>
    </w:p>
    <w:bookmarkStart w:id="304"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3" w:name="fig-H-Bruecke"/>
          <w:p>
            <w:pPr>
              <w:pStyle w:val="Compact"/>
              <w:jc w:val="center"/>
            </w:pPr>
            <w:r>
              <w:drawing>
                <wp:inline>
                  <wp:extent cx="5334000" cy="3718089"/>
                  <wp:effectExtent b="0" l="0" r="0" t="0"/>
                  <wp:docPr descr="" title="" id="281" name="Picture"/>
                  <a:graphic>
                    <a:graphicData uri="http://schemas.openxmlformats.org/drawingml/2006/picture">
                      <pic:pic>
                        <pic:nvPicPr>
                          <pic:cNvPr descr="Projekte/Grafiken/Hbruecke/Vierquadrantensteller.png" id="282" name="Picture"/>
                          <pic:cNvPicPr>
                            <a:picLocks noChangeArrowheads="1" noChangeAspect="1"/>
                          </pic:cNvPicPr>
                        </pic:nvPicPr>
                        <pic:blipFill>
                          <a:blip r:embed="rId280"/>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83"/>
        </w:tc>
      </w:tr>
    </w:tbl>
    <w:bookmarkStart w:id="303"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7" w:name="fig-H-BrueckeMS"/>
          <w:p>
            <w:pPr>
              <w:pStyle w:val="Compact"/>
              <w:jc w:val="center"/>
            </w:pPr>
            <w:r>
              <w:drawing>
                <wp:inline>
                  <wp:extent cx="3556000" cy="3759200"/>
                  <wp:effectExtent b="0" l="0" r="0" t="0"/>
                  <wp:docPr descr="" title="" id="285" name="Picture"/>
                  <a:graphic>
                    <a:graphicData uri="http://schemas.openxmlformats.org/drawingml/2006/picture">
                      <pic:pic>
                        <pic:nvPicPr>
                          <pic:cNvPr descr="Projekte/Grafiken/Hbruecke/MitSchaltern.png" id="286" name="Picture"/>
                          <pic:cNvPicPr>
                            <a:picLocks noChangeArrowheads="1" noChangeAspect="1"/>
                          </pic:cNvPicPr>
                        </pic:nvPicPr>
                        <pic:blipFill>
                          <a:blip r:embed="rId284"/>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287"/>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292" w:name="linkslauf"/>
    <w:p>
      <w:pPr>
        <w:pStyle w:val="Heading4"/>
      </w:pPr>
      <w:r>
        <w:t xml:space="preserve">5.1.1.1 Linkslauf</w:t>
      </w:r>
    </w:p>
    <w:tbl>
      <w:tblPr>
        <w:tblStyle w:val="Table"/>
        <w:tblW w:type="pct" w:w="5000"/>
        <w:tblLook w:firstRow="0" w:lastRow="0" w:firstColumn="0" w:lastColumn="0" w:noHBand="0" w:noVBand="0" w:val="0000"/>
        <w:jc w:val="start"/>
        <w:tblLayout w:type="fixed"/>
      </w:tblPr>
      <w:tblGrid>
        <w:gridCol w:w="7920"/>
      </w:tblGrid>
      <w:tr>
        <w:tc>
          <w:tcPr/>
          <w:bookmarkStart w:id="291" w:name="fig-H-BrueckeMSLL"/>
          <w:p>
            <w:pPr>
              <w:pStyle w:val="Compact"/>
              <w:jc w:val="center"/>
            </w:pPr>
            <w:r>
              <w:drawing>
                <wp:inline>
                  <wp:extent cx="3556000" cy="3759200"/>
                  <wp:effectExtent b="0" l="0" r="0" t="0"/>
                  <wp:docPr descr="" title="" id="289" name="Picture"/>
                  <a:graphic>
                    <a:graphicData uri="http://schemas.openxmlformats.org/drawingml/2006/picture">
                      <pic:pic>
                        <pic:nvPicPr>
                          <pic:cNvPr descr="Projekte/Grafiken/Hbruecke/MitSchalternLL.png" id="290" name="Picture"/>
                          <pic:cNvPicPr>
                            <a:picLocks noChangeArrowheads="1" noChangeAspect="1"/>
                          </pic:cNvPicPr>
                        </pic:nvPicPr>
                        <pic:blipFill>
                          <a:blip r:embed="rId28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291"/>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292"/>
    <w:bookmarkStart w:id="297" w:name="rechtslauf"/>
    <w:p>
      <w:pPr>
        <w:pStyle w:val="Heading4"/>
      </w:pPr>
      <w:r>
        <w:t xml:space="preserve">5.1.1.2 Rechtslauf</w:t>
      </w:r>
    </w:p>
    <w:tbl>
      <w:tblPr>
        <w:tblStyle w:val="Table"/>
        <w:tblW w:type="pct" w:w="5000"/>
        <w:tblLook w:firstRow="0" w:lastRow="0" w:firstColumn="0" w:lastColumn="0" w:noHBand="0" w:noVBand="0" w:val="0000"/>
        <w:jc w:val="start"/>
        <w:tblLayout w:type="fixed"/>
      </w:tblPr>
      <w:tblGrid>
        <w:gridCol w:w="7920"/>
      </w:tblGrid>
      <w:tr>
        <w:tc>
          <w:tcPr/>
          <w:bookmarkStart w:id="296" w:name="fig-H-BrueckeMSRL"/>
          <w:p>
            <w:pPr>
              <w:pStyle w:val="Compact"/>
              <w:jc w:val="center"/>
            </w:pPr>
            <w:r>
              <w:drawing>
                <wp:inline>
                  <wp:extent cx="3556000" cy="3759200"/>
                  <wp:effectExtent b="0" l="0" r="0" t="0"/>
                  <wp:docPr descr="" title="" id="294" name="Picture"/>
                  <a:graphic>
                    <a:graphicData uri="http://schemas.openxmlformats.org/drawingml/2006/picture">
                      <pic:pic>
                        <pic:nvPicPr>
                          <pic:cNvPr descr="Projekte/Grafiken/Hbruecke/MitSchalternRL.png" id="295" name="Picture"/>
                          <pic:cNvPicPr>
                            <a:picLocks noChangeArrowheads="1" noChangeAspect="1"/>
                          </pic:cNvPicPr>
                        </pic:nvPicPr>
                        <pic:blipFill>
                          <a:blip r:embed="rId29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296"/>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297"/>
    <w:bookmarkStart w:id="302"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01" w:name="fig-H-BrueckeMSBremse"/>
          <w:p>
            <w:pPr>
              <w:pStyle w:val="Compact"/>
              <w:jc w:val="center"/>
            </w:pPr>
            <w:r>
              <w:drawing>
                <wp:inline>
                  <wp:extent cx="3556000" cy="3759200"/>
                  <wp:effectExtent b="0" l="0" r="0" t="0"/>
                  <wp:docPr descr="" title="" id="299" name="Picture"/>
                  <a:graphic>
                    <a:graphicData uri="http://schemas.openxmlformats.org/drawingml/2006/picture">
                      <pic:pic>
                        <pic:nvPicPr>
                          <pic:cNvPr descr="Projekte/Grafiken/Hbruecke/MitSchalternBremse.png" id="300" name="Picture"/>
                          <pic:cNvPicPr>
                            <a:picLocks noChangeArrowheads="1" noChangeAspect="1"/>
                          </pic:cNvPicPr>
                        </pic:nvPicPr>
                        <pic:blipFill>
                          <a:blip r:embed="rId29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01"/>
        </w:tc>
      </w:tr>
    </w:tbl>
    <w:bookmarkEnd w:id="302"/>
    <w:bookmarkEnd w:id="303"/>
    <w:bookmarkEnd w:id="304"/>
    <w:bookmarkStart w:id="318" w:name="entwicklung-der-logik"/>
    <w:p>
      <w:pPr>
        <w:pStyle w:val="Heading2"/>
      </w:pPr>
      <w:r>
        <w:t xml:space="preserve">5.2 Entwicklung der Logik</w:t>
      </w:r>
    </w:p>
    <w:bookmarkStart w:id="310"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05"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Break</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5.1: Zuordnungstabelle</w:t>
            </w:r>
          </w:p>
          <w:bookmarkEnd w:id="305"/>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6" name="Picture"/>
                  <a:graphic>
                    <a:graphicData uri="http://schemas.openxmlformats.org/drawingml/2006/picture">
                      <pic:pic>
                        <pic:nvPicPr>
                          <pic:cNvPr descr="C:\Users\leo\AppData\Local\Programs\Quarto\share\formats\docx\note.png" id="30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wird aus den Gleichungen die Wahrheitstabellen erstellt und mit der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08"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5.2: Wahrheitstabelle Kontrolle T1 und T3</w:t>
            </w:r>
          </w:p>
          <w:bookmarkEnd w:id="308"/>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09"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5.3: Wahrheitstabelle Kontrolle T2 und T4</w:t>
            </w:r>
          </w:p>
          <w:bookmarkEnd w:id="309"/>
        </w:tc>
      </w:tr>
    </w:tbl>
    <w:p>
      <w:pPr>
        <w:pStyle w:val="BodyText"/>
      </w:pPr>
      <w:r>
        <w:t xml:space="preserve">Die Tabellen stimmen überein. Die Gleichungen sind somit richtig.</w:t>
      </w:r>
    </w:p>
    <w:bookmarkEnd w:id="310"/>
    <w:bookmarkStart w:id="317"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11" name="Picture"/>
                  <a:graphic>
                    <a:graphicData uri="http://schemas.openxmlformats.org/drawingml/2006/picture">
                      <pic:pic>
                        <pic:nvPicPr>
                          <pic:cNvPr descr="C:\Users\leo\AppData\Local\Programs\Quarto\share\formats\docx\note.png" id="31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16" w:name="fig-LogikSchaltung"/>
          <w:p>
            <w:pPr>
              <w:pStyle w:val="Compact"/>
              <w:jc w:val="center"/>
            </w:pPr>
            <w:r>
              <w:drawing>
                <wp:inline>
                  <wp:extent cx="5332395" cy="7372951"/>
                  <wp:effectExtent b="0" l="0" r="0" t="0"/>
                  <wp:docPr descr="" title="" id="314" name="Picture"/>
                  <a:graphic>
                    <a:graphicData uri="http://schemas.openxmlformats.org/drawingml/2006/picture">
                      <pic:pic>
                        <pic:nvPicPr>
                          <pic:cNvPr descr="Projekte/Grafiken/Hbruecke/LogicCirciut.png" id="315" name="Picture"/>
                          <pic:cNvPicPr>
                            <a:picLocks noChangeArrowheads="1" noChangeAspect="1"/>
                          </pic:cNvPicPr>
                        </pic:nvPicPr>
                        <pic:blipFill>
                          <a:blip r:embed="rId313"/>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16"/>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17"/>
    <w:bookmarkEnd w:id="318"/>
    <w:bookmarkStart w:id="325"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 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23"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22" w:name="fig-OPV-Schaltung"/>
          <w:p>
            <w:pPr>
              <w:pStyle w:val="Compact"/>
              <w:jc w:val="center"/>
            </w:pPr>
            <w:r>
              <w:drawing>
                <wp:inline>
                  <wp:extent cx="5334000" cy="1670614"/>
                  <wp:effectExtent b="0" l="0" r="0" t="0"/>
                  <wp:docPr descr="" title="" id="320" name="Picture"/>
                  <a:graphic>
                    <a:graphicData uri="http://schemas.openxmlformats.org/drawingml/2006/picture">
                      <pic:pic>
                        <pic:nvPicPr>
                          <pic:cNvPr descr="Projekte/Grafiken/Hbruecke/OPV-Schaltung.png" id="321" name="Picture"/>
                          <pic:cNvPicPr>
                            <a:picLocks noChangeArrowheads="1" noChangeAspect="1"/>
                          </pic:cNvPicPr>
                        </pic:nvPicPr>
                        <pic:blipFill>
                          <a:blip r:embed="rId319"/>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22"/>
        </w:tc>
      </w:tr>
    </w:tbl>
    <w:bookmarkEnd w:id="323"/>
    <w:bookmarkStart w:id="324" w:name="umsetzung-in-der-praxis"/>
    <w:p>
      <w:pPr>
        <w:pStyle w:val="Heading3"/>
      </w:pPr>
      <w:r>
        <w:t xml:space="preserve">5.3.2 Umsetzung in der Praxis</w:t>
      </w:r>
    </w:p>
    <w:p>
      <w:pPr>
        <w:pStyle w:val="FirstParagraph"/>
      </w:pPr>
      <w:r>
        <w:t xml:space="preserve">Wird eine H-Brücke in der Paxis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Anwendungsbeispile,</w:t>
      </w:r>
      <w:r>
        <w:t xml:space="preserve"> </w:t>
      </w:r>
      <w:r>
        <w:rPr>
          <w:iCs/>
          <w:i/>
        </w:rPr>
        <w:t xml:space="preserve">Application Notes</w:t>
      </w:r>
      <w:r>
        <w:t xml:space="preserve">, zu finden. Diese sind eine gute Quelle für die Entwicklung der Schaltugen.</w:t>
      </w:r>
    </w:p>
    <w:bookmarkEnd w:id="324"/>
    <w:bookmarkEnd w:id="325"/>
    <w:bookmarkStart w:id="338" w:name="simulation-der-h-brücke"/>
    <w:p>
      <w:pPr>
        <w:pStyle w:val="Heading2"/>
      </w:pPr>
      <w:r>
        <w:t xml:space="preserve">5.4 Simulation der H-Brücke</w:t>
      </w:r>
    </w:p>
    <w:p>
      <w:pPr>
        <w:pStyle w:val="FirstParagraph"/>
      </w:pPr>
      <w:r>
        <w:t xml:space="preserve">Will man nun die Funktion der H-Brücke simulieren, muss die Logikschaltung mit der Pegelanpassung, der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29" w:name="fig-TopSheet"/>
          <w:p>
            <w:pPr>
              <w:pStyle w:val="Compact"/>
              <w:jc w:val="center"/>
            </w:pPr>
            <w:r>
              <w:drawing>
                <wp:inline>
                  <wp:extent cx="5334000" cy="1685904"/>
                  <wp:effectExtent b="0" l="0" r="0" t="0"/>
                  <wp:docPr descr="" title="" id="327" name="Picture"/>
                  <a:graphic>
                    <a:graphicData uri="http://schemas.openxmlformats.org/drawingml/2006/picture">
                      <pic:pic>
                        <pic:nvPicPr>
                          <pic:cNvPr descr="Projekte/Grafiken/Hbruecke/TopSheet.png" id="328" name="Picture"/>
                          <pic:cNvPicPr>
                            <a:picLocks noChangeArrowheads="1" noChangeAspect="1"/>
                          </pic:cNvPicPr>
                        </pic:nvPicPr>
                        <pic:blipFill>
                          <a:blip r:embed="rId326"/>
                          <a:stretch>
                            <a:fillRect/>
                          </a:stretch>
                        </pic:blipFill>
                        <pic:spPr bwMode="auto">
                          <a:xfrm>
                            <a:off x="0" y="0"/>
                            <a:ext cx="5334000" cy="168590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2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33" w:name="fig-SimpleMotorModel"/>
          <w:p>
            <w:pPr>
              <w:pStyle w:val="Compact"/>
              <w:jc w:val="center"/>
            </w:pPr>
            <w:r>
              <w:drawing>
                <wp:inline>
                  <wp:extent cx="1157387" cy="2097365"/>
                  <wp:effectExtent b="0" l="0" r="0" t="0"/>
                  <wp:docPr descr="" title="" id="331" name="Picture"/>
                  <a:graphic>
                    <a:graphicData uri="http://schemas.openxmlformats.org/drawingml/2006/picture">
                      <pic:pic>
                        <pic:nvPicPr>
                          <pic:cNvPr descr="Projekte/Grafiken/Hbruecke/SimpleMotorModel.png" id="332" name="Picture"/>
                          <pic:cNvPicPr>
                            <a:picLocks noChangeArrowheads="1" noChangeAspect="1"/>
                          </pic:cNvPicPr>
                        </pic:nvPicPr>
                        <pic:blipFill>
                          <a:blip r:embed="rId330"/>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3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37" w:name="fig-ExtendedMotorModel"/>
          <w:p>
            <w:pPr>
              <w:pStyle w:val="Compact"/>
              <w:jc w:val="center"/>
            </w:pPr>
            <w:r>
              <w:drawing>
                <wp:inline>
                  <wp:extent cx="4267200" cy="4003721"/>
                  <wp:effectExtent b="0" l="0" r="0" t="0"/>
                  <wp:docPr descr="" title="" id="335" name="Picture"/>
                  <a:graphic>
                    <a:graphicData uri="http://schemas.openxmlformats.org/drawingml/2006/picture">
                      <pic:pic>
                        <pic:nvPicPr>
                          <pic:cNvPr descr="Projekte/Grafiken/Hbruecke/AdvancedMotorModel.png" id="336" name="Picture"/>
                          <pic:cNvPicPr>
                            <a:picLocks noChangeArrowheads="1" noChangeAspect="1"/>
                          </pic:cNvPicPr>
                        </pic:nvPicPr>
                        <pic:blipFill>
                          <a:blip r:embed="rId334"/>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37"/>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 ändern. Die Bremsfunktion lässt sich mittels B aktivieren.</w:t>
      </w:r>
    </w:p>
    <w:bookmarkEnd w:id="338"/>
    <w:bookmarkStart w:id="339" w:name="pwm-und-induktive-lasten"/>
    <w:p>
      <w:pPr>
        <w:pStyle w:val="Heading2"/>
      </w:pPr>
      <w:r>
        <w:t xml:space="preserve">5.5 PWM und induktive Lasten</w:t>
      </w:r>
    </w:p>
    <w:p>
      <w:pPr>
        <w:pStyle w:val="FirstParagraph"/>
      </w:pPr>
      <w:r>
        <w:rPr>
          <w:bCs/>
          <w:b/>
        </w:rPr>
        <w:t xml:space="preserve">To Be Continued</w:t>
      </w:r>
    </w:p>
    <w:bookmarkEnd w:id="339"/>
    <w:bookmarkEnd w:id="340"/>
    <w:bookmarkStart w:id="413" w:name="sec-Oszillator"/>
    <w:p>
      <w:pPr>
        <w:pStyle w:val="Heading1"/>
      </w:pPr>
      <w:r>
        <w:t xml:space="preserve">6. Oszillator</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351" w:name="grundlagen"/>
    <w:p>
      <w:pPr>
        <w:pStyle w:val="Heading2"/>
      </w:pPr>
      <w:r>
        <w:t xml:space="preserve">6.1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42" w:name="oszillatorschaltungen"/>
    <w:p>
      <w:pPr>
        <w:pStyle w:val="Heading3"/>
      </w:pPr>
      <w:r>
        <w:t xml:space="preserve">6.1.1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41">
        <w:r>
          <w:rPr>
            <w:rStyle w:val="Hyperlink"/>
          </w:rPr>
          <w:t xml:space="preserve">Altium Designer - Oscillators</w:t>
        </w:r>
      </w:hyperlink>
    </w:p>
    <w:bookmarkEnd w:id="342"/>
    <w:bookmarkStart w:id="347" w:name="blockschaltbild-eines-oszillators"/>
    <w:p>
      <w:pPr>
        <w:pStyle w:val="Heading3"/>
      </w:pPr>
      <w:r>
        <w:t xml:space="preserve">6.1.2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46" w:name="fig-OscBlockschaltbildOszillator"/>
          <w:p>
            <w:pPr>
              <w:pStyle w:val="Compact"/>
              <w:jc w:val="center"/>
            </w:pPr>
            <w:r>
              <w:drawing>
                <wp:inline>
                  <wp:extent cx="5334000" cy="1796254"/>
                  <wp:effectExtent b="0" l="0" r="0" t="0"/>
                  <wp:docPr descr="" title="" id="344" name="Picture"/>
                  <a:graphic>
                    <a:graphicData uri="http://schemas.openxmlformats.org/drawingml/2006/picture">
                      <pic:pic>
                        <pic:nvPicPr>
                          <pic:cNvPr descr="Projekte/Oszillator/OszillatorBlockschaltbild.png" id="345" name="Picture"/>
                          <pic:cNvPicPr>
                            <a:picLocks noChangeArrowheads="1" noChangeAspect="1"/>
                          </pic:cNvPicPr>
                        </pic:nvPicPr>
                        <pic:blipFill>
                          <a:blip r:embed="rId343"/>
                          <a:stretch>
                            <a:fillRect/>
                          </a:stretch>
                        </pic:blipFill>
                        <pic:spPr bwMode="auto">
                          <a:xfrm>
                            <a:off x="0" y="0"/>
                            <a:ext cx="5334000" cy="17962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Blockschaltbild eines Oszillator</w:t>
            </w:r>
          </w:p>
          <w:bookmarkEnd w:id="346"/>
        </w:tc>
      </w:tr>
    </w:tbl>
    <w:bookmarkEnd w:id="347"/>
    <w:bookmarkStart w:id="350" w:name="sec-OscÜbertragungsfunktion"/>
    <w:p>
      <w:pPr>
        <w:pStyle w:val="Heading3"/>
      </w:pPr>
      <w:r>
        <w:t xml:space="preserve">6.1.3 Die Übertragungsfunktion eines Oszillators</w:t>
      </w:r>
    </w:p>
    <w:p>
      <w:pPr>
        <w:pStyle w:val="FirstParagraph"/>
      </w:pPr>
      <w:r>
        <w:t xml:space="preserve">Jeder der in</w:t>
      </w:r>
      <w:r>
        <w:t xml:space="preserve"> </w:t>
      </w:r>
      <w:hyperlink w:anchor="fig-OscBlockschaltbildOszillator">
        <w:r>
          <w:rPr>
            <w:rStyle w:val="Hyperlink"/>
          </w:rPr>
          <w:t xml:space="preserve">Abbildung 6.1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48">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349">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350"/>
    <w:bookmarkEnd w:id="351"/>
    <w:bookmarkStart w:id="412" w:name="Xeaa84c764fd5cf254c148f9337e3c115489b3f4"/>
    <w:p>
      <w:pPr>
        <w:pStyle w:val="Heading2"/>
      </w:pPr>
      <w:r>
        <w:t xml:space="preserve">6.2 Dimensionierung eines Wien-Robinson-Oszillator</w:t>
      </w:r>
    </w:p>
    <w:p>
      <w:pPr>
        <w:pStyle w:val="FirstParagraph"/>
      </w:pPr>
      <w:r>
        <w:t xml:space="preserve">Für dieses Beispiel wird der Wien-Robinson-Oszillator ausgewählt. Die Schaltung ist in</w:t>
      </w:r>
      <w:r>
        <w:t xml:space="preserve"> </w:t>
      </w:r>
      <w:r>
        <w:t xml:space="preserve">[2, chap. 13.2]</w:t>
      </w:r>
      <w:r>
        <w:t xml:space="preserve"> </w:t>
      </w:r>
      <w:r>
        <w:t xml:space="preserve">zu finden. Schematisch ist die Schaltung als Blockschaltbild in</w:t>
      </w:r>
      <w:r>
        <w:t xml:space="preserve"> </w:t>
      </w:r>
      <w:hyperlink w:anchor="fig-OscBlockschaltbildOszillator">
        <w:r>
          <w:rPr>
            <w:rStyle w:val="Hyperlink"/>
          </w:rPr>
          <w:t xml:space="preserve">Abbildung 6.1</w:t>
        </w:r>
      </w:hyperlink>
      <w:r>
        <w:t xml:space="preserve"> </w:t>
      </w:r>
      <w:r>
        <w:t xml:space="preserve">dargestellt. Die zwei Blöcke können getrennt betrachtet werden. Der Schwingkreis und der Verstärker.</w:t>
      </w:r>
    </w:p>
    <w:bookmarkStart w:id="369" w:name="X5f44dd1aae21e1f1e89a1e77edcba5041e00956"/>
    <w:p>
      <w:pPr>
        <w:pStyle w:val="Heading3"/>
      </w:pPr>
      <w:r>
        <w:t xml:space="preserve">6.2.1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einem Kondensator verwendet,</w:t>
      </w:r>
      <w:r>
        <w:t xml:space="preserve"> </w:t>
      </w:r>
      <w:hyperlink w:anchor="fig-RCSchwingkreis">
        <w:r>
          <w:rPr>
            <w:rStyle w:val="Hyperlink"/>
          </w:rPr>
          <w:t xml:space="preserve">Abbildung 6.2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55" w:name="fig-RCSchwingkreis"/>
          <w:p>
            <w:pPr>
              <w:pStyle w:val="Compact"/>
              <w:jc w:val="center"/>
            </w:pPr>
            <w:r>
              <w:drawing>
                <wp:inline>
                  <wp:extent cx="3599999" cy="4534999"/>
                  <wp:effectExtent b="0" l="0" r="0" t="0"/>
                  <wp:docPr descr="" title="" id="353" name="Picture"/>
                  <a:graphic>
                    <a:graphicData uri="http://schemas.openxmlformats.org/drawingml/2006/picture">
                      <pic:pic>
                        <pic:nvPicPr>
                          <pic:cNvPr descr="Projekte/Oszillator/RCSchwingkreis.png" id="354" name="Picture"/>
                          <pic:cNvPicPr>
                            <a:picLocks noChangeArrowheads="1" noChangeAspect="1"/>
                          </pic:cNvPicPr>
                        </pic:nvPicPr>
                        <pic:blipFill>
                          <a:blip r:embed="rId352"/>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RC Schwingkreis</w:t>
            </w:r>
          </w:p>
          <w:bookmarkEnd w:id="355"/>
        </w:tc>
      </w:tr>
    </w:tbl>
    <w:p>
      <w:pPr>
        <w:pStyle w:val="BodyText"/>
      </w:pPr>
      <w:r>
        <w:t xml:space="preserve">Die Übertragungsfunktion lässt sich nun auf zwei Arten darstellen. Entweder mathematisch mittels der Komplexen Wechselstromrechnung oder mittels Simulation.</w:t>
      </w:r>
    </w:p>
    <w:bookmarkStart w:id="361" w:name="sec-OscMathBerechnung"/>
    <w:p>
      <w:pPr>
        <w:pStyle w:val="Heading4"/>
      </w:pPr>
      <w:r>
        <w:t xml:space="preserve">6.2.1.1 Mathematische Berechnung</w:t>
      </w:r>
    </w:p>
    <w:p>
      <w:pPr>
        <w:pStyle w:val="FirstParagraph"/>
      </w:pPr>
      <w:r>
        <w:t xml:space="preserve">Die Übertragungsfunktion lässt sich mittels Spannungsteileregel anschreiben.</w:t>
      </w:r>
    </w:p>
    <w:p>
      <w:pPr>
        <w:pStyle w:val="BodyText"/>
      </w:pPr>
      <w:bookmarkStart w:id="356"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6.1</m:t>
              </m:r>
            </m:e>
          </m:d>
        </m:oMath>
      </m:oMathPara>
      <w:bookmarkEnd w:id="356"/>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357"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6.2</m:t>
              </m:r>
            </m:e>
          </m:d>
        </m:oMath>
      </m:oMathPara>
      <w:bookmarkEnd w:id="357"/>
    </w:p>
    <w:p>
      <w:pPr>
        <w:pStyle w:val="FirstParagraph"/>
      </w:pPr>
      <w:r>
        <w:t xml:space="preserve">Bei der Schwingfrequenz des Oszillator handelt es sich um die Eigenfrequenz des Schwingkreises. Bei der Schwingfrequenz ist der Imaginärteil Null. Das lässt sich benutzen um die Eigenfrequenz zu berechnen. Ist der Zähler rein real, erfordert ein erweitern der obigen Gleichung mit</w:t>
      </w:r>
      <w:r>
        <w:t xml:space="preserve"> </w:t>
      </w:r>
      <m:oMath>
        <m:r>
          <m:t>i</m:t>
        </m:r>
        <m:r>
          <m:rPr>
            <m:sty m:val="p"/>
          </m:rPr>
          <m:t>/</m:t>
        </m:r>
        <m:r>
          <m:t>i</m:t>
        </m:r>
      </m:oMath>
      <w:r>
        <w:t xml:space="preserve">, kann nur der Imaginärteil des Nenners betrachtet werden.</w:t>
      </w:r>
    </w:p>
    <w:p>
      <w:pPr>
        <w:pStyle w:val="BodyText"/>
      </w:pPr>
      <w:bookmarkStart w:id="358"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6.3</m:t>
              </m:r>
            </m:e>
          </m:d>
        </m:oMath>
      </m:oMathPara>
      <w:bookmarkEnd w:id="358"/>
    </w:p>
    <w:p>
      <w:pPr>
        <w:pStyle w:val="FirstParagraph"/>
      </w:pPr>
      <w:r>
        <w:t xml:space="preserve">Wird die Gleichung nach</w:t>
      </w:r>
      <w:r>
        <w:t xml:space="preserve"> </w:t>
      </w:r>
      <m:oMath>
        <m:r>
          <m:t>ω</m:t>
        </m:r>
      </m:oMath>
      <w:r>
        <w:t xml:space="preserve"> </w:t>
      </w:r>
      <w:r>
        <w:t xml:space="preserve">aufgelöst ergibt sich die Gleichung für die Eigenfrequenz</w:t>
      </w:r>
      <w:r>
        <w:t xml:space="preserve"> </w:t>
      </w:r>
      <m:oMath>
        <m:sSub>
          <m:e>
            <m:r>
              <m:t>ω</m:t>
            </m:r>
          </m:e>
          <m:sub>
            <m:r>
              <m:t>0</m:t>
            </m:r>
          </m:sub>
        </m:sSub>
      </m:oMath>
      <w:r>
        <w:t xml:space="preserve"> </w:t>
      </w:r>
      <w:r>
        <w:t xml:space="preserve">des Schwingkreises.</w:t>
      </w:r>
    </w:p>
    <w:p>
      <w:pPr>
        <w:pStyle w:val="BodyText"/>
      </w:pPr>
      <w:bookmarkStart w:id="359"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6.4</m:t>
              </m:r>
            </m:e>
          </m:d>
        </m:oMath>
      </m:oMathPara>
      <w:bookmarkEnd w:id="359"/>
    </w:p>
    <w:p>
      <w:pPr>
        <w:pStyle w:val="FirstParagraph"/>
      </w:pPr>
      <w:r>
        <w:t xml:space="preserve">Mit den Zahlenwerten für die Bauteile ergibt sich folgender Wert für die Eigenfrequenz des Schwingkreises.</w:t>
      </w:r>
    </w:p>
    <w:p>
      <w:pPr>
        <w:pStyle w:val="BodyText"/>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r>
            <m:t>C</m:t>
          </m:r>
          <m:r>
            <m:rPr>
              <m:sty m:val="p"/>
            </m:rPr>
            <m:t>=</m:t>
          </m:r>
          <m:r>
            <m:rPr>
              <m:nor/>
              <m:sty m:val="p"/>
            </m:rPr>
            <m:t>100</m:t>
          </m:r>
          <m:r>
            <m:t> </m:t>
          </m:r>
          <m:r>
            <m:rPr>
              <m:nor/>
              <m:sty m:val="p"/>
            </m:rPr>
            <m:t>n</m:t>
          </m:r>
          <m:r>
            <m:rPr>
              <m:nor/>
              <m:sty m:val="p"/>
            </m:rPr>
            <m:t>F</m:t>
          </m:r>
        </m:oMath>
      </m:oMathPara>
    </w:p>
    <w:p>
      <w:pPr>
        <w:pStyle w:val="FirstParagraph"/>
      </w:pPr>
      <m:oMathPara>
        <m:oMathParaPr>
          <m:jc m:val="center"/>
        </m:oMathParaPr>
        <m:oMath>
          <m:sSub>
            <m:e>
              <m:r>
                <m:t>w</m:t>
              </m:r>
            </m:e>
            <m:sub>
              <m:r>
                <m:t>0</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bookmarkStart w:id="360" w:name="eq-Dummy"/>
      <m:oMathPara>
        <m:oMathParaPr>
          <m:jc m:val="center"/>
        </m:oMathParaPr>
        <m:oMath>
          <m:sSub>
            <m:e>
              <m:r>
                <m:t>f</m:t>
              </m:r>
            </m:e>
            <m:sub>
              <m:r>
                <m:t>0</m:t>
              </m:r>
            </m:sub>
          </m:sSub>
          <m:r>
            <m:rPr>
              <m:sty m:val="p"/>
            </m:rPr>
            <m:t>=</m:t>
          </m:r>
          <m:f>
            <m:fPr>
              <m:type m:val="bar"/>
            </m:fPr>
            <m:num>
              <m:sSub>
                <m:e>
                  <m:r>
                    <m:t>w</m:t>
                  </m:r>
                </m:e>
                <m:sub>
                  <m:r>
                    <m:t>0</m:t>
                  </m:r>
                </m:sub>
              </m:sSub>
            </m:num>
            <m:den>
              <m:r>
                <m:t>2</m:t>
              </m:r>
              <m:r>
                <m:t>π</m:t>
              </m:r>
            </m:den>
          </m:f>
          <m:r>
            <m:t>  </m:t>
          </m:r>
          <m:d>
            <m:dPr>
              <m:begChr m:val="("/>
              <m:endChr m:val=")"/>
              <m:sepChr m:val=""/>
              <m:grow/>
            </m:dPr>
            <m:e>
              <m:r>
                <m:t>6.5</m:t>
              </m:r>
            </m:e>
          </m:d>
        </m:oMath>
      </m:oMathPara>
      <w:bookmarkEnd w:id="360"/>
    </w:p>
    <w:p>
      <w:pPr>
        <w:pStyle w:val="FirstParagraph"/>
      </w:pPr>
      <m:oMathPara>
        <m:oMathParaPr>
          <m:jc m:val="center"/>
        </m:oMathParaPr>
        <m:oMath>
          <m:sSub>
            <m:e>
              <m:r>
                <m:t>f</m:t>
              </m:r>
            </m:e>
            <m:sub>
              <m:r>
                <m:t>0</m:t>
              </m:r>
            </m:sub>
          </m:sSub>
          <m:r>
            <m:rPr>
              <m:sty m:val="p"/>
            </m:rPr>
            <m:t>=</m:t>
          </m:r>
          <m:r>
            <m:rPr>
              <m:nor/>
              <m:sty m:val="p"/>
            </m:rPr>
            <m:t>1.59</m:t>
          </m:r>
          <m:r>
            <m:t> </m:t>
          </m:r>
          <m:r>
            <m:rPr>
              <m:nor/>
              <m:sty m:val="p"/>
            </m:rPr>
            <m:t>kHz</m:t>
          </m:r>
        </m:oMath>
      </m:oMathPara>
    </w:p>
    <w:p>
      <w:pPr>
        <w:pStyle w:val="FirstParagraph"/>
      </w:pPr>
      <w:r>
        <w:t xml:space="preserve">Wird</w:t>
      </w:r>
      <w:r>
        <w:t xml:space="preserve"> </w:t>
      </w:r>
      <m:oMath>
        <m:r>
          <m:t>i</m:t>
        </m:r>
        <m:r>
          <m:t>ω</m:t>
        </m:r>
      </m:oMath>
      <w:r>
        <w:t xml:space="preserve"> </w:t>
      </w:r>
      <w:r>
        <w:t xml:space="preserve">mit</w:t>
      </w:r>
      <w:r>
        <w:t xml:space="preserve"> </w:t>
      </w:r>
      <m:oMath>
        <m:r>
          <m:t>s</m:t>
        </m:r>
      </m:oMath>
      <w:r>
        <w:t xml:space="preserve"> </w:t>
      </w:r>
      <w:r>
        <w:t xml:space="preserve">ersetzt ergibt sich die Übertragungsfunktion des Schwingkreises in Laplace-Form. Damit kann die Übertragungsfunktion des gesamten Systems berechnet werden und der Bode-Plot erstellt werden.</w:t>
      </w:r>
    </w:p>
    <w:p>
      <w:pPr>
        <w:pStyle w:val="BodyText"/>
      </w:pPr>
      <m:oMathPara>
        <m:oMathParaPr>
          <m:jc m:val="center"/>
        </m:oMathParaPr>
        <m:oMath>
          <m:sSub>
            <m:e>
              <m:r>
                <m:t>H</m:t>
              </m:r>
            </m:e>
            <m:sub>
              <m:r>
                <m:t>1</m:t>
              </m:r>
            </m:sub>
          </m:sSub>
          <m:r>
            <m:rPr>
              <m:sty m:val="p"/>
            </m:rPr>
            <m:t>=</m:t>
          </m:r>
          <m:f>
            <m:fPr>
              <m:type m:val="bar"/>
            </m:fPr>
            <m:num>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oMath>
      </m:oMathPara>
    </w:p>
    <w:p>
      <w:pPr>
        <w:pStyle w:val="FirstParagraph"/>
      </w:pPr>
      <w:r>
        <w:t xml:space="preserve">{#eq_OscH1}</w:t>
      </w:r>
    </w:p>
    <w:p>
      <w:pPr>
        <w:pStyle w:val="BodyText"/>
      </w:pPr>
      <w:r>
        <w:t xml:space="preserve">Im Bodediagramm ist die Eigenfrequenz am Punkt der größten Verstärkung zu sehen. Da bei</w:t>
      </w:r>
      <w:r>
        <w:t xml:space="preserve"> </w:t>
      </w:r>
      <m:oMath>
        <m:r>
          <m:t>ω</m:t>
        </m:r>
        <m:r>
          <m:rPr>
            <m:sty m:val="p"/>
          </m:rPr>
          <m:t>=</m:t>
        </m:r>
        <m:sSub>
          <m:e>
            <m:r>
              <m:t>ω</m:t>
            </m:r>
          </m:e>
          <m:sub>
            <m:r>
              <m:t>0</m:t>
            </m:r>
          </m:sub>
        </m:sSub>
      </m:oMath>
      <w:r>
        <w:t xml:space="preserve"> </w:t>
      </w:r>
      <w:r>
        <w:t xml:space="preserve">gilt, dass der Imaginärteil Null ist muss bei der Eigenfrequenz auch die Phasenverschiebung Null sein. Damit ist aus dem Bodediagramm die Eigenfrequenz abzulesen. Es ist zu erkennen, dass die Eigenfrequenz des Schwingkreises beim berechneten Wert liegt.</w:t>
      </w:r>
    </w:p>
    <w:bookmarkEnd w:id="361"/>
    <w:bookmarkStart w:id="368" w:name="simulation"/>
    <w:p>
      <w:pPr>
        <w:pStyle w:val="Heading4"/>
      </w:pPr>
      <w:r>
        <w:t xml:space="preserve">6.2.1.2 Simulation</w:t>
      </w:r>
    </w:p>
    <w:p>
      <w:pPr>
        <w:pStyle w:val="FirstParagraph"/>
      </w:pPr>
      <w:r>
        <w:t xml:space="preserve">Mittels</w:t>
      </w:r>
      <w:r>
        <w:t xml:space="preserve"> </w:t>
      </w:r>
      <w:r>
        <w:rPr>
          <w:iCs/>
          <w:i/>
        </w:rPr>
        <w:t xml:space="preserve">AC-Analysis</w:t>
      </w:r>
      <w:r>
        <w:t xml:space="preserve"> </w:t>
      </w:r>
      <w:r>
        <w:t xml:space="preserve">kann die Übertragungsfunktion des Schwingkreises simuliert werden. Die Simulationseinstellungen richten sich nach der erwarteten Frequenz des Schwingkreises. Die Simulationseinstellungen für oben gewählte Werte</w:t>
      </w:r>
    </w:p>
    <w:p>
      <w:pPr>
        <w:pStyle w:val="SourceCode"/>
      </w:pPr>
      <w:r>
        <w:rPr>
          <w:rStyle w:val="NormalTok"/>
        </w:rPr>
        <w:t xml:space="preserve">.PLOT AC {MAG(v(uout)/v(uin))} =PLOT(1) =AXIS(1)</w:t>
      </w:r>
      <w:r>
        <w:br/>
      </w:r>
      <w:r>
        <w:rPr>
          <w:rStyle w:val="NormalTok"/>
        </w:rPr>
        <w:t xml:space="preserve">.PLOT AC {PHASE(v(uout)/v(uin))} =PLOT(1) =AXIS(2)</w:t>
      </w:r>
      <w:r>
        <w:br/>
      </w:r>
      <w:r>
        <w:br/>
      </w:r>
      <w:r>
        <w:rPr>
          <w:rStyle w:val="NormalTok"/>
        </w:rPr>
        <w:t xml:space="preserve">*Selected Circuit Analyses:</w:t>
      </w:r>
      <w:r>
        <w:br/>
      </w:r>
      <w:r>
        <w:rPr>
          <w:rStyle w:val="NormalTok"/>
        </w:rPr>
        <w:t xml:space="preserve">.AC DEC 10 10 10meg</w:t>
      </w:r>
    </w:p>
    <w:tbl>
      <w:tblPr>
        <w:tblStyle w:val="Table"/>
        <w:tblW w:type="pct" w:w="5000"/>
        <w:tblLook w:firstRow="0" w:lastRow="0" w:firstColumn="0" w:lastColumn="0" w:noHBand="0" w:noVBand="0" w:val="0000"/>
        <w:jc w:val="start"/>
        <w:tblLayout w:type="fixed"/>
      </w:tblPr>
      <w:tblGrid>
        <w:gridCol w:w="7920"/>
      </w:tblGrid>
      <w:tr>
        <w:tc>
          <w:tcPr/>
          <w:bookmarkStart w:id="365" w:name="fig-ACBodeRCSchwingkreis"/>
          <w:p>
            <w:pPr>
              <w:pStyle w:val="Compact"/>
              <w:jc w:val="center"/>
            </w:pPr>
            <w:r>
              <w:drawing>
                <wp:inline>
                  <wp:extent cx="5334000" cy="2804948"/>
                  <wp:effectExtent b="0" l="0" r="0" t="0"/>
                  <wp:docPr descr="" title="" id="363" name="Picture"/>
                  <a:graphic>
                    <a:graphicData uri="http://schemas.openxmlformats.org/drawingml/2006/picture">
                      <pic:pic>
                        <pic:nvPicPr>
                          <pic:cNvPr descr="Projekte/Oszillator/ACAnalysis.png" id="364" name="Picture"/>
                          <pic:cNvPicPr>
                            <a:picLocks noChangeArrowheads="1" noChangeAspect="1"/>
                          </pic:cNvPicPr>
                        </pic:nvPicPr>
                        <pic:blipFill>
                          <a:blip r:embed="rId362"/>
                          <a:stretch>
                            <a:fillRect/>
                          </a:stretch>
                        </pic:blipFill>
                        <pic:spPr bwMode="auto">
                          <a:xfrm>
                            <a:off x="0" y="0"/>
                            <a:ext cx="5334000" cy="280494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Bodediagramm des Schwingkreises</w:t>
            </w:r>
          </w:p>
          <w:bookmarkEnd w:id="36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66" w:name="tbl-OscACAnalysis"/>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1,5816 kHz</w:t>
                  </w:r>
                </w:p>
              </w:tc>
              <w:tc>
                <w:tcPr/>
                <w:p>
                  <w:pPr>
                    <w:pStyle w:val="Compact"/>
                    <w:jc w:val="left"/>
                    <w:jc w:val="center"/>
                  </w:pPr>
                  <w:r>
                    <w:t xml:space="preserve">333,30 m</w:t>
                  </w:r>
                </w:p>
              </w:tc>
            </w:tr>
            <w:tr>
              <w:tc>
                <w:tcPr/>
                <w:p>
                  <w:pPr>
                    <w:pStyle w:val="Compact"/>
                    <w:jc w:val="left"/>
                    <w:jc w:val="center"/>
                  </w:pPr>
                  <w:r>
                    <w:t xml:space="preserve">PHASE(v(uout)/v(uin))</w:t>
                  </w:r>
                </w:p>
              </w:tc>
              <w:tc>
                <w:tcPr/>
                <w:p>
                  <w:pPr>
                    <w:pStyle w:val="Compact"/>
                    <w:jc w:val="left"/>
                    <w:jc w:val="center"/>
                  </w:pPr>
                  <w:r>
                    <w:t xml:space="preserve">1,5915 kHz</w:t>
                  </w:r>
                </w:p>
              </w:tc>
              <w:tc>
                <w:tcPr/>
                <w:p>
                  <w:pPr>
                    <w:pStyle w:val="Compact"/>
                    <w:jc w:val="left"/>
                    <w:jc w:val="center"/>
                  </w:pPr>
                  <w:r>
                    <w:t xml:space="preserve">-13,239 f°</w:t>
                  </w:r>
                </w:p>
              </w:tc>
            </w:tr>
          </w:tbl>
          <w:p>
            <w:pPr>
              <w:jc w:val="center"/>
            </w:pPr>
            <w:pPr>
              <w:jc w:val="start"/>
              <w:spacing w:before="200"/>
              <w:pStyle w:val="ImageCaption"/>
            </w:pPr>
            <w:r>
              <w:t xml:space="preserve">Tabelle 6.1: Simulations Ergebnisse für den Schwingkreis an der Eigenfrequenz</w:t>
            </w:r>
            <w:r>
              <w:t xml:space="preserve"> </w:t>
            </w:r>
            <m:oMath>
              <m:sSub>
                <m:e>
                  <m:r>
                    <m:t>ω</m:t>
                  </m:r>
                </m:e>
                <m:sub>
                  <m:r>
                    <m:t>0</m:t>
                  </m:r>
                </m:sub>
              </m:sSub>
            </m:oMath>
            <w:r>
              <w:t xml:space="preserve">.</w:t>
            </w:r>
          </w:p>
          <w:bookmarkEnd w:id="366"/>
        </w:tc>
      </w:tr>
    </w:tbl>
    <w:p>
      <w:pPr>
        <w:pStyle w:val="BodyText"/>
      </w:pPr>
      <w:r>
        <w:t xml:space="preserve">Um die Ergebnisse vergleichen zu können muss von der Frequenz auf die Kreisfrequenz umgerechnet werden.</w:t>
      </w:r>
    </w:p>
    <w:p>
      <w:pPr>
        <w:pStyle w:val="BodyText"/>
      </w:pPr>
      <w:bookmarkStart w:id="367" w:name="eq-Dummy"/>
      <m:oMathPara>
        <m:oMathParaPr>
          <m:jc m:val="center"/>
        </m:oMathParaPr>
        <m:oMath>
          <m:sSub>
            <m:e>
              <m:r>
                <m:t>w</m:t>
              </m:r>
            </m:e>
            <m:sub>
              <m:r>
                <m:t>0</m:t>
              </m:r>
              <m:r>
                <m:t>s</m:t>
              </m:r>
              <m:r>
                <m:t>i</m:t>
              </m:r>
              <m:r>
                <m:t>m</m:t>
              </m:r>
            </m:sub>
          </m:sSub>
          <m:r>
            <m:rPr>
              <m:sty m:val="p"/>
            </m:rPr>
            <m:t>=</m:t>
          </m:r>
          <m:r>
            <m:t>2</m:t>
          </m:r>
          <m:sSub>
            <m:e>
              <m:r>
                <m:t>f</m:t>
              </m:r>
            </m:e>
            <m:sub>
              <m:r>
                <m:t>0</m:t>
              </m:r>
              <m:r>
                <m:t>s</m:t>
              </m:r>
              <m:r>
                <m:t>i</m:t>
              </m:r>
              <m:r>
                <m:t>m</m:t>
              </m:r>
            </m:sub>
          </m:sSub>
          <m:r>
            <m:t>π</m:t>
          </m:r>
          <m:r>
            <m:t>  </m:t>
          </m:r>
          <m:d>
            <m:dPr>
              <m:begChr m:val="("/>
              <m:endChr m:val=")"/>
              <m:sepChr m:val=""/>
              <m:grow/>
            </m:dPr>
            <m:e>
              <m:r>
                <m:t>6.6</m:t>
              </m:r>
            </m:e>
          </m:d>
        </m:oMath>
      </m:oMathPara>
      <w:bookmarkEnd w:id="367"/>
    </w:p>
    <w:p>
      <w:pPr>
        <w:pStyle w:val="FirstParagraph"/>
      </w:pPr>
      <m:oMathPara>
        <m:oMathParaPr>
          <m:jc m:val="center"/>
        </m:oMathParaPr>
        <m:oMath>
          <m:sSub>
            <m:e>
              <m:r>
                <m:t>f</m:t>
              </m:r>
            </m:e>
            <m:sub>
              <m:r>
                <m:t>0</m:t>
              </m:r>
              <m:r>
                <m:t>s</m:t>
              </m:r>
              <m:r>
                <m:t>i</m:t>
              </m:r>
              <m:r>
                <m:t>m</m:t>
              </m:r>
            </m:sub>
          </m:sSub>
          <m:r>
            <m:rPr>
              <m:sty m:val="p"/>
            </m:rPr>
            <m:t>=</m:t>
          </m:r>
          <m:r>
            <m:rPr>
              <m:nor/>
              <m:sty m:val="p"/>
            </m:rPr>
            <m:t>1.59</m:t>
          </m:r>
          <m:r>
            <m:t> </m:t>
          </m:r>
          <m:r>
            <m:rPr>
              <m:nor/>
              <m:sty m:val="p"/>
            </m:rPr>
            <m:t>k</m:t>
          </m:r>
          <m:r>
            <m:rPr>
              <m:nor/>
              <m:sty m:val="p"/>
            </m:rPr>
            <m:t>Hz</m:t>
          </m:r>
        </m:oMath>
      </m:oMathPara>
    </w:p>
    <w:p>
      <w:pPr>
        <w:pStyle w:val="FirstParagraph"/>
      </w:pPr>
      <m:oMathPara>
        <m:oMathParaPr>
          <m:jc m:val="center"/>
        </m:oMathParaPr>
        <m:oMath>
          <m:sSub>
            <m:e>
              <m:r>
                <m:t>w</m:t>
              </m:r>
            </m:e>
            <m:sub>
              <m:r>
                <m:t>0</m:t>
              </m:r>
              <m:r>
                <m:t>s</m:t>
              </m:r>
              <m:r>
                <m:t>i</m:t>
              </m:r>
              <m:r>
                <m:t>m</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r>
        <w:t xml:space="preserve">Das Simulationsergebnis stimmt mit dem berechneten Wert aus</w:t>
      </w:r>
      <w:r>
        <w:t xml:space="preserve"> </w:t>
      </w:r>
      <w:hyperlink w:anchor="sec-OscMathBerechnung">
        <w:r>
          <w:rPr>
            <w:rStyle w:val="Hyperlink"/>
          </w:rPr>
          <w:t xml:space="preserve">Kapitel 6.2.1.1</w:t>
        </w:r>
      </w:hyperlink>
      <w:r>
        <w:t xml:space="preserve"> </w:t>
      </w:r>
      <w:r>
        <w:t xml:space="preserve">überein.</w:t>
      </w:r>
    </w:p>
    <w:bookmarkEnd w:id="368"/>
    <w:bookmarkEnd w:id="369"/>
    <w:bookmarkStart w:id="381" w:name="sec-OscRückkopplung"/>
    <w:p>
      <w:pPr>
        <w:pStyle w:val="Heading3"/>
      </w:pPr>
      <w:r>
        <w:t xml:space="preserve">6.2.2 Rückkopplung</w:t>
      </w:r>
    </w:p>
    <w:p>
      <w:pPr>
        <w:pStyle w:val="FirstParagraph"/>
      </w:pPr>
      <w:r>
        <w:t xml:space="preserve">Um den Oszillator dauerhaft in Schwingung zu halten muss ein Teil des Ausgangssignals an den Eingang zurück gekoppelt werden, siehe</w:t>
      </w:r>
      <w:r>
        <w:t xml:space="preserve"> </w:t>
      </w:r>
      <w:hyperlink w:anchor="fig-OscBlockschaltbildOszillator">
        <w:r>
          <w:rPr>
            <w:rStyle w:val="Hyperlink"/>
          </w:rPr>
          <w:t xml:space="preserve">Abbildung 6.1</w:t>
        </w:r>
      </w:hyperlink>
      <w:r>
        <w:t xml:space="preserve">.</w:t>
      </w:r>
      <w:r>
        <w:br/>
      </w:r>
      <w:r>
        <w:t xml:space="preserve">Da das Signal am Ausgang des Schwingkreises eine kleinere Amplitude hat als das Signal am Eingang, das Signal wird gedämpft, muss dieser Verlust durch einen Verstärker ausgeglichen werden.</w:t>
      </w:r>
    </w:p>
    <w:bookmarkStart w:id="370" w:name="sec-OscGedämpftesSignal"/>
    <w:p>
      <w:pPr>
        <w:pStyle w:val="Heading4"/>
      </w:pPr>
      <w:r>
        <w:t xml:space="preserve">6.2.2.1 Gedämpftes Signal</w:t>
      </w:r>
    </w:p>
    <w:p>
      <w:pPr>
        <w:pStyle w:val="FirstParagraph"/>
      </w:pPr>
      <w:r>
        <w:t xml:space="preserve">Wird kein Verstärker verwendet oder die Verstärkung ist zu klein, klingt die Schwingung ab. Das Signal wird kleiner.</w:t>
      </w:r>
    </w:p>
    <w:bookmarkEnd w:id="370"/>
    <w:bookmarkStart w:id="371" w:name="sec-OscInstabilesSystem"/>
    <w:p>
      <w:pPr>
        <w:pStyle w:val="Heading4"/>
      </w:pPr>
      <w:r>
        <w:t xml:space="preserve">6.2.2.2 Instabiles System</w:t>
      </w:r>
    </w:p>
    <w:p>
      <w:pPr>
        <w:pStyle w:val="FirstParagraph"/>
      </w:pPr>
      <w:r>
        <w:t xml:space="preserve">Ist die Verstärkung zu groß schwingt das System auf. Das Signal wird größer und größer. Das System ist instabil.</w:t>
      </w:r>
    </w:p>
    <w:bookmarkEnd w:id="371"/>
    <w:bookmarkStart w:id="372" w:name="stabiles-system"/>
    <w:p>
      <w:pPr>
        <w:pStyle w:val="Heading4"/>
      </w:pPr>
      <w:r>
        <w:t xml:space="preserve">6.2.2.3 Stabiles System</w:t>
      </w:r>
    </w:p>
    <w:p>
      <w:pPr>
        <w:pStyle w:val="FirstParagraph"/>
      </w:pPr>
      <w:r>
        <w:t xml:space="preserve">Die Verstärkung des gesamten Systems muss so gewählt werden, dass das System stabil ist. Das bedeutet, dass die Schwingung nicht abklingt und auch nicht aufschwingt. Die gesamtverstärkung von Schwingkreis und Verstärker muss an der Eigenfrequenz 1 sein. Das bedeutet, dass die Verstärkung des Verstärkers gleich der Dämpfung des Schwingkreises sein muss.</w:t>
      </w:r>
      <w:r>
        <w:br/>
      </w:r>
      <w:r>
        <w:t xml:space="preserve">Wie in Abschnitt</w:t>
      </w:r>
      <w:r>
        <w:t xml:space="preserve"> </w:t>
      </w:r>
      <w:hyperlink w:anchor="sec-OscGedämpftesSignal">
        <w:r>
          <w:rPr>
            <w:rStyle w:val="Hyperlink"/>
          </w:rPr>
          <w:t xml:space="preserve">Kapitel 6.2.2.1</w:t>
        </w:r>
      </w:hyperlink>
      <w:r>
        <w:t xml:space="preserve"> </w:t>
      </w:r>
      <w:r>
        <w:t xml:space="preserve">und</w:t>
      </w:r>
      <w:r>
        <w:t xml:space="preserve"> </w:t>
      </w:r>
      <w:r>
        <w:rPr>
          <w:bCs/>
          <w:b/>
        </w:rPr>
        <w:t xml:space="preserve">?@sec-sec-OscInstabilesSystem</w:t>
      </w:r>
      <w:r>
        <w:t xml:space="preserve"> </w:t>
      </w:r>
      <w:r>
        <w:t xml:space="preserve">gezeigt wurde, muss die Verstärkung</w:t>
      </w:r>
      <w:r>
        <w:t xml:space="preserve"> </w:t>
      </w:r>
      <w:r>
        <w:t xml:space="preserve">“</w:t>
      </w:r>
      <w:r>
        <w:t xml:space="preserve">richtig</w:t>
      </w:r>
      <w:r>
        <w:t xml:space="preserve">”</w:t>
      </w:r>
      <w:r>
        <w:t xml:space="preserve"> </w:t>
      </w:r>
      <w:r>
        <w:t xml:space="preserve">gewählt werden um sowohl ein Aufschwingen als auch ein Abklingen zu verhindern.</w:t>
      </w:r>
      <w:r>
        <w:br/>
      </w:r>
      <w:r>
        <w:t xml:space="preserve">Das Ausgangssignal des Schwingkreises ist um den Faktor 3 gedämpft. Dies lässt sich aus dem Bodediagramm</w:t>
      </w:r>
      <w:r>
        <w:t xml:space="preserve"> </w:t>
      </w:r>
      <w:hyperlink w:anchor="fig-ACBodeRCSchwingkreis">
        <w:r>
          <w:rPr>
            <w:rStyle w:val="Hyperlink"/>
          </w:rPr>
          <w:t xml:space="preserve">Abbildung 6.3</w:t>
        </w:r>
      </w:hyperlink>
      <w:r>
        <w:t xml:space="preserve"> </w:t>
      </w:r>
      <w:r>
        <w:t xml:space="preserve">oder aus der Formel</w:t>
      </w:r>
      <w:r>
        <w:t xml:space="preserve"> </w:t>
      </w:r>
      <w:r>
        <w:t xml:space="preserve">[</w:t>
      </w:r>
      <w:r>
        <w:rPr>
          <w:bCs/>
          <w:b/>
        </w:rPr>
        <w:t xml:space="preserve">eq_OscH?</w:t>
      </w:r>
      <w:r>
        <w:t xml:space="preserve">]</w:t>
      </w:r>
      <w:r>
        <w:t xml:space="preserve"> </w:t>
      </w:r>
      <w:r>
        <w:t xml:space="preserve">ablesen. Damit ergibt sich eine notwendige Verstärkung von 3. Die Übertragungsfunktion des Verstärkers ist</w:t>
      </w:r>
      <w:r>
        <w:t xml:space="preserve"> </w:t>
      </w:r>
      <m:oMath>
        <m:sSub>
          <m:e>
            <m:r>
              <m:t>H</m:t>
            </m:r>
          </m:e>
          <m:sub>
            <m:r>
              <m:t>2</m:t>
            </m:r>
          </m:sub>
        </m:sSub>
        <m:d>
          <m:dPr>
            <m:begChr m:val="("/>
            <m:endChr m:val=")"/>
            <m:sepChr m:val=""/>
            <m:grow/>
          </m:dPr>
          <m:e>
            <m:r>
              <m:t>s</m:t>
            </m:r>
          </m:e>
        </m:d>
        <m:r>
          <m:rPr>
            <m:sty m:val="p"/>
          </m:rPr>
          <m:t>=</m:t>
        </m:r>
        <m:r>
          <m:t>3</m:t>
        </m:r>
      </m:oMath>
      <w:r>
        <w:t xml:space="preserve">.</w:t>
      </w:r>
    </w:p>
    <w:bookmarkEnd w:id="372"/>
    <w:bookmarkStart w:id="378" w:name="open-loop-betrachtung"/>
    <w:p>
      <w:pPr>
        <w:pStyle w:val="Heading4"/>
      </w:pPr>
      <w:r>
        <w:t xml:space="preserve">6.2.2.4 Open Loop Betrachtung</w:t>
      </w:r>
    </w:p>
    <w:p>
      <w:pPr>
        <w:pStyle w:val="FirstParagraph"/>
      </w:pPr>
      <w:r>
        <w:t xml:space="preserve">Um die Funktion des Verstärkers in Kombination mit dem Schwingkreis zu betrachten kann das System ohne Rückkopplung betrachtet werden.</w:t>
      </w:r>
    </w:p>
    <w:tbl>
      <w:tblPr>
        <w:tblStyle w:val="Table"/>
        <w:tblW w:type="pct" w:w="5000"/>
        <w:tblLook w:firstRow="0" w:lastRow="0" w:firstColumn="0" w:lastColumn="0" w:noHBand="0" w:noVBand="0" w:val="0000"/>
        <w:jc w:val="start"/>
        <w:tblLayout w:type="fixed"/>
      </w:tblPr>
      <w:tblGrid>
        <w:gridCol w:w="7920"/>
      </w:tblGrid>
      <w:tr>
        <w:tc>
          <w:tcPr/>
          <w:bookmarkStart w:id="376" w:name="fig-OscOpenLoop"/>
          <w:p>
            <w:pPr>
              <w:pStyle w:val="Compact"/>
              <w:jc w:val="center"/>
            </w:pPr>
            <w:r>
              <w:drawing>
                <wp:inline>
                  <wp:extent cx="3599999" cy="855605"/>
                  <wp:effectExtent b="0" l="0" r="0" t="0"/>
                  <wp:docPr descr="" title="" id="374" name="Picture"/>
                  <a:graphic>
                    <a:graphicData uri="http://schemas.openxmlformats.org/drawingml/2006/picture">
                      <pic:pic>
                        <pic:nvPicPr>
                          <pic:cNvPr descr="Projekte/Oszillator/OszillatorBlockschaltbildOpenLoop.png" id="375" name="Picture"/>
                          <pic:cNvPicPr>
                            <a:picLocks noChangeArrowheads="1" noChangeAspect="1"/>
                          </pic:cNvPicPr>
                        </pic:nvPicPr>
                        <pic:blipFill>
                          <a:blip r:embed="rId373"/>
                          <a:stretch>
                            <a:fillRect/>
                          </a:stretch>
                        </pic:blipFill>
                        <pic:spPr bwMode="auto">
                          <a:xfrm>
                            <a:off x="0" y="0"/>
                            <a:ext cx="3599999" cy="85560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6.4: Open Loop</w:t>
            </w:r>
          </w:p>
          <w:bookmarkEnd w:id="376"/>
        </w:tc>
      </w:tr>
    </w:tbl>
    <w:p>
      <w:pPr>
        <w:pStyle w:val="BodyText"/>
      </w:pPr>
      <w:bookmarkStart w:id="377" w:name="eq-Dummy"/>
      <m:oMathPara>
        <m:oMathParaPr>
          <m:jc m:val="center"/>
        </m:oMathParaPr>
        <m:oMath>
          <m:r>
            <m:t>H</m:t>
          </m:r>
          <m:r>
            <m:rPr>
              <m:sty m:val="p"/>
            </m:rPr>
            <m:t>=</m:t>
          </m:r>
          <m:sSub>
            <m:e>
              <m:r>
                <m:t>H</m:t>
              </m:r>
            </m:e>
            <m:sub>
              <m:r>
                <m:t>1</m:t>
              </m:r>
            </m:sub>
          </m:sSub>
          <m:sSub>
            <m:e>
              <m:r>
                <m:t>H</m:t>
              </m:r>
            </m:e>
            <m:sub>
              <m:r>
                <m:t>2</m:t>
              </m:r>
            </m:sub>
          </m:sSub>
          <m:r>
            <m:t>  </m:t>
          </m:r>
          <m:d>
            <m:dPr>
              <m:begChr m:val="("/>
              <m:endChr m:val=")"/>
              <m:sepChr m:val=""/>
              <m:grow/>
            </m:dPr>
            <m:e>
              <m:r>
                <m:t>6.7</m:t>
              </m:r>
            </m:e>
          </m:d>
        </m:oMath>
      </m:oMathPara>
      <w:bookmarkEnd w:id="377"/>
    </w:p>
    <w:p>
      <w:pPr>
        <w:pStyle w:val="FirstParagraph"/>
      </w:pPr>
      <m:oMathPara>
        <m:oMathParaPr>
          <m:jc m:val="center"/>
        </m:oMathParaPr>
        <m:oMath>
          <m:r>
            <m:t>H</m:t>
          </m:r>
          <m:r>
            <m:rPr>
              <m:sty m:val="p"/>
            </m:rPr>
            <m:t>=</m:t>
          </m:r>
          <m:f>
            <m:fPr>
              <m:type m:val="bar"/>
            </m:fPr>
            <m:num>
              <m:r>
                <m:t>3</m:t>
              </m:r>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oMath>
      </m:oMathPara>
    </w:p>
    <w:p>
      <w:pPr>
        <w:pStyle w:val="FirstParagraph"/>
      </w:pPr>
      <w:r>
        <w:t xml:space="preserve">{#eq_OscH2}</w:t>
      </w:r>
    </w:p>
    <w:p>
      <w:pPr>
        <w:pStyle w:val="BodyText"/>
      </w:pPr>
      <w:r>
        <w:t xml:space="preserve">Es ist zu erkennen, dass mit einem Verstärker as Verhältnis von Eingangssignal zu Ausgangssignal bei der Eigenfrequenz tatsächlich 1 ist,</w:t>
      </w:r>
      <w:r>
        <w:t xml:space="preserve"> </w:t>
      </w:r>
      <m:oMath>
        <m:r>
          <m:t>0</m:t>
        </m:r>
        <m:r>
          <m:t> </m:t>
        </m:r>
        <m:r>
          <m:rPr>
            <m:sty m:val="p"/>
          </m:rPr>
          <m:t>d</m:t>
        </m:r>
        <m:r>
          <m:rPr>
            <m:sty m:val="p"/>
          </m:rPr>
          <m:t>B</m:t>
        </m:r>
      </m:oMath>
      <w:r>
        <w:t xml:space="preserve">. Der Verstärker wurde richtig dimensioniert.</w:t>
      </w:r>
    </w:p>
    <w:bookmarkEnd w:id="378"/>
    <w:bookmarkStart w:id="379" w:name="closed-loop-betrachtung"/>
    <w:p>
      <w:pPr>
        <w:pStyle w:val="Heading4"/>
      </w:pPr>
      <w:r>
        <w:t xml:space="preserve">6.2.2.5 Closed Loop Betrachtung</w:t>
      </w:r>
    </w:p>
    <w:p>
      <w:pPr>
        <w:pStyle w:val="FirstParagraph"/>
      </w:pPr>
      <w:r>
        <w:t xml:space="preserve">Wird nun der Kreis geschlossen, das Ausgangssignal wird am Eingang zurückgeführt, kann eine dauerhafte Schwingung aufrecht erhalten werden. Voraussetzung dafür ist, dass die Verstärkung des Verstärkers richtig gewählt wird.</w:t>
      </w:r>
    </w:p>
    <w:bookmarkEnd w:id="379"/>
    <w:bookmarkStart w:id="380" w:name="sec-OscAnschwingen"/>
    <w:p>
      <w:pPr>
        <w:pStyle w:val="Heading4"/>
      </w:pPr>
      <w:r>
        <w:t xml:space="preserve">6.2.2.6 Anschwingen</w:t>
      </w:r>
    </w:p>
    <w:p>
      <w:pPr>
        <w:pStyle w:val="FirstParagraph"/>
      </w:pPr>
      <w:r>
        <w:t xml:space="preserve">Es braucht eine</w:t>
      </w:r>
      <w:r>
        <w:t xml:space="preserve"> </w:t>
      </w:r>
      <w:r>
        <w:t xml:space="preserve">“</w:t>
      </w:r>
      <w:r>
        <w:t xml:space="preserve">Störung</w:t>
      </w:r>
      <w:r>
        <w:t xml:space="preserve">”</w:t>
      </w:r>
      <w:r>
        <w:t xml:space="preserve"> </w:t>
      </w:r>
      <w:r>
        <w:t xml:space="preserve">um das System erstmalig in Schwingung zu versetzten. Dies kann Entweder durch anlegen eines kurzen Impulses geschehen oder in dem die Störungen im System verstärkt werden.</w:t>
      </w:r>
      <w:r>
        <w:br/>
      </w:r>
      <w:r>
        <w:t xml:space="preserve">Erstere Lösung würde einen zusätzlichen Aufwand bedeuten und nur funktionieren wenn das System stabil ist, das bedeutet, die Bauteile exakt eingestellt sind. Das ist alleine aufgrund der Temperaturabhängigkeit der Bauteile nicht möglich.</w:t>
      </w:r>
      <w:r>
        <w:br/>
      </w:r>
      <w:r>
        <w:t xml:space="preserve">Zweitere Lösung bedeutet, dass kleine Signale im System verstärkt werden bis es schwingt. Es muss also mit Absicht ein instabiles System erzeugt werden. Die Schwingung soll aber eine bestimmte Amplitude nicht überschreiten. Das würde wiederum ein stabiles System erfordern. Um dies zu erreichen benötigt es eine Amplitudenregelung. Diese ist ohnehin notwendig um die Bauteiltoleranzen und Temperaturabhängigkeiten auszugleichen. Daher ist die zweite Lösung die praktikablere.</w:t>
      </w:r>
    </w:p>
    <w:bookmarkEnd w:id="380"/>
    <w:bookmarkEnd w:id="381"/>
    <w:bookmarkStart w:id="411" w:name="praktische-umsetzung"/>
    <w:p>
      <w:pPr>
        <w:pStyle w:val="Heading3"/>
      </w:pPr>
      <w:r>
        <w:t xml:space="preserve">6.2.3 Praktische Umsetzung</w:t>
      </w:r>
    </w:p>
    <w:bookmarkStart w:id="391" w:name="der-verstärker"/>
    <w:p>
      <w:pPr>
        <w:pStyle w:val="Heading4"/>
      </w:pPr>
      <w:r>
        <w:t xml:space="preserve">6.2.3.1 Der Verstärker</w:t>
      </w:r>
    </w:p>
    <w:p>
      <w:pPr>
        <w:pStyle w:val="FirstParagraph"/>
      </w:pPr>
      <w:r>
        <w:t xml:space="preserve">Mit einem Nicht-Invertierten Verstärker lässt sich die Verstärkung realisieren.</w:t>
      </w:r>
    </w:p>
    <w:tbl>
      <w:tblPr>
        <w:tblStyle w:val="Table"/>
        <w:tblW w:type="pct" w:w="5000"/>
        <w:tblLook w:firstRow="0" w:lastRow="0" w:firstColumn="0" w:lastColumn="0" w:noHBand="0" w:noVBand="0" w:val="0000"/>
        <w:jc w:val="start"/>
        <w:tblLayout w:type="fixed"/>
      </w:tblPr>
      <w:tblGrid>
        <w:gridCol w:w="7920"/>
      </w:tblGrid>
      <w:tr>
        <w:tc>
          <w:tcPr/>
          <w:bookmarkStart w:id="385" w:name="fig-OscOpenLoopSchaltung"/>
          <w:p>
            <w:pPr>
              <w:pStyle w:val="Compact"/>
              <w:jc w:val="center"/>
            </w:pPr>
            <w:r>
              <w:drawing>
                <wp:inline>
                  <wp:extent cx="5334000" cy="3465364"/>
                  <wp:effectExtent b="0" l="0" r="0" t="0"/>
                  <wp:docPr descr="" title="" id="383" name="Picture"/>
                  <a:graphic>
                    <a:graphicData uri="http://schemas.openxmlformats.org/drawingml/2006/picture">
                      <pic:pic>
                        <pic:nvPicPr>
                          <pic:cNvPr descr="Projekte/Oszillator/OpenLoop.png" id="384" name="Picture"/>
                          <pic:cNvPicPr>
                            <a:picLocks noChangeArrowheads="1" noChangeAspect="1"/>
                          </pic:cNvPicPr>
                        </pic:nvPicPr>
                        <pic:blipFill>
                          <a:blip r:embed="rId382"/>
                          <a:stretch>
                            <a:fillRect/>
                          </a:stretch>
                        </pic:blipFill>
                        <pic:spPr bwMode="auto">
                          <a:xfrm>
                            <a:off x="0" y="0"/>
                            <a:ext cx="5334000" cy="346536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6.5: Open Loop Schaltung</w:t>
            </w:r>
          </w:p>
          <w:bookmarkEnd w:id="38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89" w:name="fig-OscOpenLoopSimulation"/>
          <w:p>
            <w:pPr>
              <w:pStyle w:val="Compact"/>
              <w:jc w:val="center"/>
            </w:pPr>
            <w:r>
              <w:drawing>
                <wp:inline>
                  <wp:extent cx="5334000" cy="3511874"/>
                  <wp:effectExtent b="0" l="0" r="0" t="0"/>
                  <wp:docPr descr="" title="" id="387" name="Picture"/>
                  <a:graphic>
                    <a:graphicData uri="http://schemas.openxmlformats.org/drawingml/2006/picture">
                      <pic:pic>
                        <pic:nvPicPr>
                          <pic:cNvPr descr="Projekte/Oszillator/RCOpenLoopBode.png" id="388" name="Picture"/>
                          <pic:cNvPicPr>
                            <a:picLocks noChangeArrowheads="1" noChangeAspect="1"/>
                          </pic:cNvPicPr>
                        </pic:nvPicPr>
                        <pic:blipFill>
                          <a:blip r:embed="rId386"/>
                          <a:stretch>
                            <a:fillRect/>
                          </a:stretch>
                        </pic:blipFill>
                        <pic:spPr bwMode="auto">
                          <a:xfrm>
                            <a:off x="0" y="0"/>
                            <a:ext cx="5334000" cy="351187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6.6: Open Loop AC Analysis</w:t>
            </w:r>
          </w:p>
          <w:bookmarkEnd w:id="38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90" w:name="tbl-OscACAnalysisOpenLoo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1,5755 kHz</w:t>
                  </w:r>
                </w:p>
              </w:tc>
              <w:tc>
                <w:tcPr/>
                <w:p>
                  <w:pPr>
                    <w:pStyle w:val="Compact"/>
                    <w:jc w:val="left"/>
                    <w:jc w:val="center"/>
                  </w:pPr>
                  <w:r>
                    <w:t xml:space="preserve">999,69 m</w:t>
                  </w:r>
                </w:p>
              </w:tc>
            </w:tr>
            <w:tr>
              <w:tc>
                <w:tcPr/>
                <w:p>
                  <w:pPr>
                    <w:pStyle w:val="Compact"/>
                    <w:jc w:val="left"/>
                    <w:jc w:val="center"/>
                  </w:pPr>
                  <w:r>
                    <w:t xml:space="preserve">PHASE(v(uout)/v(uin))</w:t>
                  </w:r>
                </w:p>
              </w:tc>
              <w:tc>
                <w:tcPr/>
                <w:p>
                  <w:pPr>
                    <w:pStyle w:val="Compact"/>
                    <w:jc w:val="left"/>
                    <w:jc w:val="center"/>
                  </w:pPr>
                  <w:r>
                    <w:t xml:space="preserve">1,5755 kHz</w:t>
                  </w:r>
                </w:p>
              </w:tc>
              <w:tc>
                <w:tcPr/>
                <w:p>
                  <w:pPr>
                    <w:pStyle w:val="Compact"/>
                    <w:jc w:val="left"/>
                    <w:jc w:val="center"/>
                  </w:pPr>
                  <w:r>
                    <w:t xml:space="preserve">-8,8818 f°</w:t>
                  </w:r>
                </w:p>
              </w:tc>
            </w:tr>
          </w:tbl>
          <w:p>
            <w:pPr>
              <w:jc w:val="center"/>
            </w:pPr>
            <w:pPr>
              <w:jc w:val="start"/>
              <w:spacing w:before="200"/>
              <w:pStyle w:val="ImageCaption"/>
            </w:pPr>
            <w:r>
              <w:t xml:space="preserve">Tabelle 6.2: Simulations Ergebnisse für den Schwingkreis mit Verstärker an der Eigenfrequenz</w:t>
            </w:r>
            <w:r>
              <w:t xml:space="preserve"> </w:t>
            </w:r>
            <m:oMath>
              <m:sSub>
                <m:e>
                  <m:r>
                    <m:t>ω</m:t>
                  </m:r>
                </m:e>
                <m:sub>
                  <m:r>
                    <m:t>0</m:t>
                  </m:r>
                </m:sub>
              </m:sSub>
            </m:oMath>
            <w:r>
              <w:t xml:space="preserve">.</w:t>
            </w:r>
          </w:p>
          <w:bookmarkEnd w:id="390"/>
        </w:tc>
      </w:tr>
    </w:tbl>
    <w:p>
      <w:pPr>
        <w:pStyle w:val="BodyText"/>
      </w:pPr>
      <w:r>
        <w:t xml:space="preserve">Die Ergebnisse der Schaltung sind identisch mit den Berechnungen. Die Verstärkung ist 1 und die Phasenverschiebung ist 0 bei der Eigenfrequenz. Der Verstärker wurde richtig dimensioniert.</w:t>
      </w:r>
      <w:r>
        <w:br/>
      </w:r>
      <w:r>
        <w:t xml:space="preserve">Die eigenfrequenz hat sich jedoch leicht verschoben. Dies ließe sich durch anpassen der Bauteile im Schwingkreis korrigieren, soll an dieser Stelle aber vernachlässigt werden.</w:t>
      </w:r>
    </w:p>
    <w:bookmarkEnd w:id="391"/>
    <w:bookmarkStart w:id="410" w:name="anschwingen-und-stabilität"/>
    <w:p>
      <w:pPr>
        <w:pStyle w:val="Heading4"/>
      </w:pPr>
      <w:r>
        <w:t xml:space="preserve">6.2.3.2 Anschwingen und stabilität</w:t>
      </w:r>
    </w:p>
    <w:p>
      <w:pPr>
        <w:pStyle w:val="FirstParagraph"/>
      </w:pPr>
      <w:r>
        <w:t xml:space="preserve">In der obigen, theoretische Erklärung, wird angenommen, dass die Verstärkung exakt eingestellt werden kann. In der Praxis ist das aufgrund der Bauteiltoleranzen und der Temperaturabhängigkeit der Bauteile nicht möglich. Es wird daher unweigerlich zu einer gedämpften oder instabilen Schwingung kommen.</w:t>
      </w:r>
      <w:r>
        <w:br/>
      </w:r>
      <w:r>
        <w:t xml:space="preserve">Es braucht daher eine Amplitudenregelung. Damit kann auch das Anschwingen realisiert werden, siehe</w:t>
      </w:r>
      <w:r>
        <w:t xml:space="preserve"> </w:t>
      </w:r>
      <w:hyperlink w:anchor="sec-OscAnschwingen">
        <w:r>
          <w:rPr>
            <w:rStyle w:val="Hyperlink"/>
          </w:rPr>
          <w:t xml:space="preserve">Kapitel 6.2.2.6</w:t>
        </w:r>
      </w:hyperlink>
      <w:r>
        <w:t xml:space="preserve">.</w:t>
      </w:r>
    </w:p>
    <w:bookmarkStart w:id="409" w:name="refs"/>
    <w:bookmarkStart w:id="393" w:name="ref-BJT_Kennlinie"/>
    <w:p>
      <w:pPr>
        <w:pStyle w:val="Bibliography"/>
      </w:pPr>
      <w:r>
        <w:t xml:space="preserve">1.</w:t>
      </w:r>
      <w:r>
        <w:t xml:space="preserve"> </w:t>
      </w:r>
      <w:r>
        <w:t xml:space="preserve">	</w:t>
      </w:r>
      <w:r>
        <w:t xml:space="preserve">Biezl V Bipolartransistor Kennlinienfeld.</w:t>
      </w:r>
      <w:r>
        <w:t xml:space="preserve"> </w:t>
      </w:r>
      <w:hyperlink r:id="rId392">
        <w:r>
          <w:rPr>
            <w:rStyle w:val="Hyperlink"/>
          </w:rPr>
          <w:t xml:space="preserve">https://commons.wikimedia.org/w/index.php?curid=7329334</w:t>
        </w:r>
      </w:hyperlink>
      <w:r>
        <w:t xml:space="preserve">. Accessed 19 Nov 2023</w:t>
      </w:r>
    </w:p>
    <w:bookmarkEnd w:id="393"/>
    <w:bookmarkStart w:id="394"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394"/>
    <w:bookmarkStart w:id="396" w:name="ref-DC-Motor_Market"/>
    <w:p>
      <w:pPr>
        <w:pStyle w:val="Bibliography"/>
      </w:pPr>
      <w:r>
        <w:t xml:space="preserve">3.</w:t>
      </w:r>
      <w:r>
        <w:t xml:space="preserve"> </w:t>
      </w:r>
      <w:r>
        <w:t xml:space="preserve">	</w:t>
      </w:r>
      <w:r>
        <w:t xml:space="preserve">Transparency Market Reserach Inc DC Motors Market.</w:t>
      </w:r>
      <w:r>
        <w:t xml:space="preserve"> </w:t>
      </w:r>
      <w:hyperlink r:id="rId395">
        <w:r>
          <w:rPr>
            <w:rStyle w:val="Hyperlink"/>
          </w:rPr>
          <w:t xml:space="preserve">https://www.transparencymarketresearch.com/dc-motors-market.html</w:t>
        </w:r>
      </w:hyperlink>
      <w:r>
        <w:t xml:space="preserve">. Accessed 13 Dez 2023</w:t>
      </w:r>
    </w:p>
    <w:bookmarkEnd w:id="396"/>
    <w:bookmarkStart w:id="398" w:name="ref-HBruecke"/>
    <w:p>
      <w:pPr>
        <w:pStyle w:val="Bibliography"/>
      </w:pPr>
      <w:r>
        <w:t xml:space="preserve">4.</w:t>
      </w:r>
      <w:r>
        <w:t xml:space="preserve"> </w:t>
      </w:r>
      <w:r>
        <w:t xml:space="preserve">	</w:t>
      </w:r>
      <w:r>
        <w:t xml:space="preserve">Biezl V Vierquadrantensteller steuert Gleichstrommotor.</w:t>
      </w:r>
      <w:r>
        <w:t xml:space="preserve"> </w:t>
      </w:r>
      <w:hyperlink r:id="rId397">
        <w:r>
          <w:rPr>
            <w:rStyle w:val="Hyperlink"/>
          </w:rPr>
          <w:t xml:space="preserve">https://commons.wikimedia.org/w/index.php?curid=4792919</w:t>
        </w:r>
      </w:hyperlink>
      <w:r>
        <w:t xml:space="preserve">. Accessed 13 Dez 2023</w:t>
      </w:r>
    </w:p>
    <w:bookmarkEnd w:id="398"/>
    <w:bookmarkStart w:id="400"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399">
        <w:r>
          <w:rPr>
            <w:rStyle w:val="Hyperlink"/>
          </w:rPr>
          <w:t xml:space="preserve">https://www.infineon.com/dgdl/Infineon-TLE7182EM-DS-v01_01-en.pdf?fileId=db3a30432f5008fe012f5442920c3996</w:t>
        </w:r>
      </w:hyperlink>
      <w:r>
        <w:t xml:space="preserve">. Accessed 1 Feb 2024</w:t>
      </w:r>
    </w:p>
    <w:bookmarkEnd w:id="400"/>
    <w:bookmarkStart w:id="402" w:name="ref-LogicDriverL99H02"/>
    <w:p>
      <w:pPr>
        <w:pStyle w:val="Bibliography"/>
      </w:pPr>
      <w:r>
        <w:t xml:space="preserve">6.</w:t>
      </w:r>
      <w:r>
        <w:t xml:space="preserve"> </w:t>
      </w:r>
      <w:r>
        <w:t xml:space="preserve">	</w:t>
      </w:r>
      <w:r>
        <w:t xml:space="preserve">Microelectronics S L99H02 Motor bridge driver.</w:t>
      </w:r>
      <w:r>
        <w:t xml:space="preserve"> </w:t>
      </w:r>
      <w:hyperlink r:id="rId401">
        <w:r>
          <w:rPr>
            <w:rStyle w:val="Hyperlink"/>
          </w:rPr>
          <w:t xml:space="preserve">https://www.st.com/en/automotive-analog-and-power/l99h02.html</w:t>
        </w:r>
      </w:hyperlink>
      <w:r>
        <w:t xml:space="preserve">. Accessed 1 Feb 2024</w:t>
      </w:r>
    </w:p>
    <w:bookmarkEnd w:id="402"/>
    <w:bookmarkStart w:id="404" w:name="ref-LogicDriverBridgeIFX9201SG"/>
    <w:p>
      <w:pPr>
        <w:pStyle w:val="Bibliography"/>
      </w:pPr>
      <w:r>
        <w:t xml:space="preserve">7.</w:t>
      </w:r>
      <w:r>
        <w:t xml:space="preserve"> </w:t>
      </w:r>
      <w:r>
        <w:t xml:space="preserve">	</w:t>
      </w:r>
      <w:r>
        <w:t xml:space="preserve">Technologies I IFX9201SG 6 A H-Bridge.</w:t>
      </w:r>
      <w:r>
        <w:t xml:space="preserve"> </w:t>
      </w:r>
      <w:hyperlink r:id="rId403">
        <w:r>
          <w:rPr>
            <w:rStyle w:val="Hyperlink"/>
          </w:rPr>
          <w:t xml:space="preserve">https://www.infineon.com/dgdl/Infineon-IFX9201SG-DS-v01_01-EN.pdf?fileId=5546d4624cb7f111014d2e8916795dea</w:t>
        </w:r>
      </w:hyperlink>
      <w:r>
        <w:t xml:space="preserve">. Accessed 1 Feb 2024</w:t>
      </w:r>
    </w:p>
    <w:bookmarkEnd w:id="404"/>
    <w:bookmarkStart w:id="406" w:name="ref-LogicDriverBridgeL298"/>
    <w:p>
      <w:pPr>
        <w:pStyle w:val="Bibliography"/>
      </w:pPr>
      <w:r>
        <w:t xml:space="preserve">8.</w:t>
      </w:r>
      <w:r>
        <w:t xml:space="preserve"> </w:t>
      </w:r>
      <w:r>
        <w:t xml:space="preserve">	</w:t>
      </w:r>
      <w:r>
        <w:t xml:space="preserve">Microelectronics S L298 Dual Full Bridge Driver.</w:t>
      </w:r>
      <w:r>
        <w:t xml:space="preserve"> </w:t>
      </w:r>
      <w:hyperlink r:id="rId405">
        <w:r>
          <w:rPr>
            <w:rStyle w:val="Hyperlink"/>
          </w:rPr>
          <w:t xml:space="preserve">https://www.st.com/resource/en/datasheet/l298.pdf</w:t>
        </w:r>
      </w:hyperlink>
      <w:r>
        <w:t xml:space="preserve">. Accessed 1 Feb 2024</w:t>
      </w:r>
    </w:p>
    <w:bookmarkEnd w:id="406"/>
    <w:bookmarkStart w:id="408" w:name="ref-MotorModel"/>
    <w:p>
      <w:pPr>
        <w:pStyle w:val="Bibliography"/>
      </w:pPr>
      <w:r>
        <w:t xml:space="preserve">9.</w:t>
      </w:r>
      <w:r>
        <w:t xml:space="preserve"> </w:t>
      </w:r>
      <w:r>
        <w:t xml:space="preserve">	</w:t>
      </w:r>
      <w:r>
        <w:t xml:space="preserve">precisionmicrodrives Using SPICE To Model DC Motors.</w:t>
      </w:r>
      <w:r>
        <w:t xml:space="preserve"> </w:t>
      </w:r>
      <w:hyperlink r:id="rId407">
        <w:r>
          <w:rPr>
            <w:rStyle w:val="Hyperlink"/>
          </w:rPr>
          <w:t xml:space="preserve">https://www.precisionmicrodrives.com/ab-025</w:t>
        </w:r>
        <w:r>
          <w:rPr>
            <w:rStyle w:val="Hyperlink"/>
          </w:rPr>
          <w:t xml:space="preserve"> </w:t>
        </w:r>
      </w:hyperlink>
      <w:r>
        <w:t xml:space="preserve">. Accessed 19 Jan 2024</w:t>
      </w:r>
    </w:p>
    <w:bookmarkEnd w:id="408"/>
    <w:bookmarkEnd w:id="409"/>
    <w:bookmarkEnd w:id="410"/>
    <w:bookmarkEnd w:id="411"/>
    <w:bookmarkEnd w:id="412"/>
    <w:bookmarkEnd w:id="4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0" Target="media/rId80.png" /><Relationship Type="http://schemas.openxmlformats.org/officeDocument/2006/relationships/image" Id="rId103" Target="media/rId103.png" /><Relationship Type="http://schemas.openxmlformats.org/officeDocument/2006/relationships/image" Id="rId34" Target="media/rId34.svg" /><Relationship Type="http://schemas.openxmlformats.org/officeDocument/2006/relationships/image" Id="rId163" Target="media/rId163.png" /><Relationship Type="http://schemas.openxmlformats.org/officeDocument/2006/relationships/image" Id="rId167" Target="media/rId167.svg" /><Relationship Type="http://schemas.openxmlformats.org/officeDocument/2006/relationships/image" Id="rId172" Target="media/rId172.png" /><Relationship Type="http://schemas.openxmlformats.org/officeDocument/2006/relationships/image" Id="rId176" Target="media/rId176.svg" /><Relationship Type="http://schemas.openxmlformats.org/officeDocument/2006/relationships/image" Id="rId185" Target="media/rId185.svg" /><Relationship Type="http://schemas.openxmlformats.org/officeDocument/2006/relationships/image" Id="rId181" Target="media/rId181.png" /><Relationship Type="http://schemas.openxmlformats.org/officeDocument/2006/relationships/image" Id="rId189" Target="media/rId189.sv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231" Target="media/rId231.png" /><Relationship Type="http://schemas.openxmlformats.org/officeDocument/2006/relationships/image" Id="rId196" Target="media/rId196.png" /><Relationship Type="http://schemas.openxmlformats.org/officeDocument/2006/relationships/image" Id="rId237" Target="media/rId237.png" /><Relationship Type="http://schemas.openxmlformats.org/officeDocument/2006/relationships/image" Id="rId241" Target="media/rId241.svg" /><Relationship Type="http://schemas.openxmlformats.org/officeDocument/2006/relationships/image" Id="rId262" Target="media/rId262.png" /><Relationship Type="http://schemas.openxmlformats.org/officeDocument/2006/relationships/image" Id="rId258" Target="media/rId258.png" /><Relationship Type="http://schemas.openxmlformats.org/officeDocument/2006/relationships/image" Id="rId249" Target="media/rId249.png" /><Relationship Type="http://schemas.openxmlformats.org/officeDocument/2006/relationships/image" Id="rId253" Target="media/rId253.svg" /><Relationship Type="http://schemas.openxmlformats.org/officeDocument/2006/relationships/image" Id="rId266" Target="media/rId266.png" /><Relationship Type="http://schemas.openxmlformats.org/officeDocument/2006/relationships/image" Id="rId270" Target="media/rId270.svg" /><Relationship Type="http://schemas.openxmlformats.org/officeDocument/2006/relationships/image" Id="rId159" Target="media/rId159.png" /><Relationship Type="http://schemas.openxmlformats.org/officeDocument/2006/relationships/image" Id="rId334" Target="media/rId334.png" /><Relationship Type="http://schemas.openxmlformats.org/officeDocument/2006/relationships/image" Id="rId313" Target="media/rId313.png" /><Relationship Type="http://schemas.openxmlformats.org/officeDocument/2006/relationships/image" Id="rId284" Target="media/rId284.png" /><Relationship Type="http://schemas.openxmlformats.org/officeDocument/2006/relationships/image" Id="rId298" Target="media/rId298.png" /><Relationship Type="http://schemas.openxmlformats.org/officeDocument/2006/relationships/image" Id="rId288" Target="media/rId288.png" /><Relationship Type="http://schemas.openxmlformats.org/officeDocument/2006/relationships/image" Id="rId293" Target="media/rId293.png" /><Relationship Type="http://schemas.openxmlformats.org/officeDocument/2006/relationships/image" Id="rId319" Target="media/rId319.png" /><Relationship Type="http://schemas.openxmlformats.org/officeDocument/2006/relationships/image" Id="rId330" Target="media/rId330.png" /><Relationship Type="http://schemas.openxmlformats.org/officeDocument/2006/relationships/image" Id="rId326" Target="media/rId326.png" /><Relationship Type="http://schemas.openxmlformats.org/officeDocument/2006/relationships/image" Id="rId280" Target="media/rId280.png" /><Relationship Type="http://schemas.openxmlformats.org/officeDocument/2006/relationships/image" Id="rId362" Target="media/rId362.png" /><Relationship Type="http://schemas.openxmlformats.org/officeDocument/2006/relationships/image" Id="rId382" Target="media/rId382.png" /><Relationship Type="http://schemas.openxmlformats.org/officeDocument/2006/relationships/image" Id="rId343" Target="media/rId343.png" /><Relationship Type="http://schemas.openxmlformats.org/officeDocument/2006/relationships/image" Id="rId373" Target="media/rId373.png" /><Relationship Type="http://schemas.openxmlformats.org/officeDocument/2006/relationships/image" Id="rId386" Target="media/rId386.png" /><Relationship Type="http://schemas.openxmlformats.org/officeDocument/2006/relationships/image" Id="rId352" Target="media/rId352.png" /><Relationship Type="http://schemas.openxmlformats.org/officeDocument/2006/relationships/image" Id="rId140" Target="media/rId140.svg" /><Relationship Type="http://schemas.openxmlformats.org/officeDocument/2006/relationships/image" Id="rId132" Target="media/rId132.svg" /><Relationship Type="http://schemas.openxmlformats.org/officeDocument/2006/relationships/hyperlink" Id="rId397" Target="https://commons.wikimedia.org/w/index.php?curid=4792919" TargetMode="External" /><Relationship Type="http://schemas.openxmlformats.org/officeDocument/2006/relationships/hyperlink" Id="rId392" Target="https://commons.wikimedia.org/w/index.php?curid=7329334" TargetMode="External" /><Relationship Type="http://schemas.openxmlformats.org/officeDocument/2006/relationships/hyperlink" Id="rId349" Target="https://de.wikipedia.org/wiki/Laplace-Transformation" TargetMode="External" /><Relationship Type="http://schemas.openxmlformats.org/officeDocument/2006/relationships/hyperlink" Id="rId348" Target="https://de.wikipedia.org/wiki/Nomenklatur" TargetMode="External" /><Relationship Type="http://schemas.openxmlformats.org/officeDocument/2006/relationships/hyperlink" Id="rId278"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41" Target="https://resources.altium.com/p/everything-you-need-know-about-oscillators" TargetMode="External" /><Relationship Type="http://schemas.openxmlformats.org/officeDocument/2006/relationships/hyperlink" Id="rId279" Target="https://www.altium.com/documentation/altium-designer/multi-sheet-multi-channel-design?version=22" TargetMode="External" /><Relationship Type="http://schemas.openxmlformats.org/officeDocument/2006/relationships/hyperlink" Id="rId403" Target="https://www.infineon.com/dgdl/Infineon-IFX9201SG-DS-v01_01-EN.pdf?fileId=5546d4624cb7f111014d2e8916795dea" TargetMode="External" /><Relationship Type="http://schemas.openxmlformats.org/officeDocument/2006/relationships/hyperlink" Id="rId399" Target="https://www.infineon.com/dgdl/Infineon-TLE7182EM-DS-v01_01-en.pdf?fileId=db3a30432f5008fe012f5442920c3996" TargetMode="External" /><Relationship Type="http://schemas.openxmlformats.org/officeDocument/2006/relationships/hyperlink" Id="rId407" Target="https://www.precisionmicrodrives.com/ab-025 " TargetMode="External" /><Relationship Type="http://schemas.openxmlformats.org/officeDocument/2006/relationships/hyperlink" Id="rId401" Target="https://www.st.com/en/automotive-analog-and-power/l99h02.html" TargetMode="External" /><Relationship Type="http://schemas.openxmlformats.org/officeDocument/2006/relationships/hyperlink" Id="rId405" Target="https://www.st.com/resource/en/datasheet/l298.pdf" TargetMode="External" /><Relationship Type="http://schemas.openxmlformats.org/officeDocument/2006/relationships/hyperlink" Id="rId395"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397" Target="https://commons.wikimedia.org/w/index.php?curid=4792919" TargetMode="External" /><Relationship Type="http://schemas.openxmlformats.org/officeDocument/2006/relationships/hyperlink" Id="rId392" Target="https://commons.wikimedia.org/w/index.php?curid=7329334" TargetMode="External" /><Relationship Type="http://schemas.openxmlformats.org/officeDocument/2006/relationships/hyperlink" Id="rId349" Target="https://de.wikipedia.org/wiki/Laplace-Transformation" TargetMode="External" /><Relationship Type="http://schemas.openxmlformats.org/officeDocument/2006/relationships/hyperlink" Id="rId348" Target="https://de.wikipedia.org/wiki/Nomenklatur" TargetMode="External" /><Relationship Type="http://schemas.openxmlformats.org/officeDocument/2006/relationships/hyperlink" Id="rId278"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41" Target="https://resources.altium.com/p/everything-you-need-know-about-oscillators" TargetMode="External" /><Relationship Type="http://schemas.openxmlformats.org/officeDocument/2006/relationships/hyperlink" Id="rId279" Target="https://www.altium.com/documentation/altium-designer/multi-sheet-multi-channel-design?version=22" TargetMode="External" /><Relationship Type="http://schemas.openxmlformats.org/officeDocument/2006/relationships/hyperlink" Id="rId403" Target="https://www.infineon.com/dgdl/Infineon-IFX9201SG-DS-v01_01-EN.pdf?fileId=5546d4624cb7f111014d2e8916795dea" TargetMode="External" /><Relationship Type="http://schemas.openxmlformats.org/officeDocument/2006/relationships/hyperlink" Id="rId399" Target="https://www.infineon.com/dgdl/Infineon-TLE7182EM-DS-v01_01-en.pdf?fileId=db3a30432f5008fe012f5442920c3996" TargetMode="External" /><Relationship Type="http://schemas.openxmlformats.org/officeDocument/2006/relationships/hyperlink" Id="rId407" Target="https://www.precisionmicrodrives.com/ab-025 " TargetMode="External" /><Relationship Type="http://schemas.openxmlformats.org/officeDocument/2006/relationships/hyperlink" Id="rId401" Target="https://www.st.com/en/automotive-analog-and-power/l99h02.html" TargetMode="External" /><Relationship Type="http://schemas.openxmlformats.org/officeDocument/2006/relationships/hyperlink" Id="rId405" Target="https://www.st.com/resource/en/datasheet/l298.pdf" TargetMode="External" /><Relationship Type="http://schemas.openxmlformats.org/officeDocument/2006/relationships/hyperlink" Id="rId395"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2024-04-09T08:54:10Z</dcterms:created>
  <dcterms:modified xsi:type="dcterms:W3CDTF">2024-04-09T08:54:10Z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2024-04-09</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