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8.png" ContentType="image/png"/>
  <Override PartName="/word/media/rId111.png" ContentType="image/png"/>
  <Override PartName="/word/media/rId34.svg" ContentType="image/svg+xml"/>
  <Override PartName="/word/media/rId171.png" ContentType="image/png"/>
  <Override PartName="/word/media/rId175.svg" ContentType="image/svg+xml"/>
  <Override PartName="/word/media/rId180.png" ContentType="image/png"/>
  <Override PartName="/word/media/rId184.svg" ContentType="image/svg+xml"/>
  <Override PartName="/word/media/rId193.svg" ContentType="image/svg+xml"/>
  <Override PartName="/word/media/rId189.png" ContentType="image/png"/>
  <Override PartName="/word/media/rId197.svg" ContentType="image/svg+xml"/>
  <Override PartName="/word/media/rId231.png" ContentType="image/png"/>
  <Override PartName="/word/media/rId235.png" ContentType="image/png"/>
  <Override PartName="/word/media/rId239.png" ContentType="image/png"/>
  <Override PartName="/word/media/rId204.png" ContentType="image/png"/>
  <Override PartName="/word/media/rId245.png" ContentType="image/png"/>
  <Override PartName="/word/media/rId249.svg" ContentType="image/svg+xml"/>
  <Override PartName="/word/media/rId270.png" ContentType="image/png"/>
  <Override PartName="/word/media/rId266.png" ContentType="image/png"/>
  <Override PartName="/word/media/rId257.png" ContentType="image/png"/>
  <Override PartName="/word/media/rId261.svg" ContentType="image/svg+xml"/>
  <Override PartName="/word/media/rId274.png" ContentType="image/png"/>
  <Override PartName="/word/media/rId278.svg" ContentType="image/svg+xml"/>
  <Override PartName="/word/media/rId283.png" ContentType="image/png"/>
  <Override PartName="/word/media/rId167.png" ContentType="image/png"/>
  <Override PartName="/word/media/rId349.png" ContentType="image/png"/>
  <Override PartName="/word/media/rId328.png" ContentType="image/png"/>
  <Override PartName="/word/media/rId299.png" ContentType="image/png"/>
  <Override PartName="/word/media/rId313.png" ContentType="image/png"/>
  <Override PartName="/word/media/rId303.png" ContentType="image/png"/>
  <Override PartName="/word/media/rId308.png" ContentType="image/png"/>
  <Override PartName="/word/media/rId334.png" ContentType="image/png"/>
  <Override PartName="/word/media/rId345.png" ContentType="image/png"/>
  <Override PartName="/word/media/rId341.png" ContentType="image/png"/>
  <Override PartName="/word/media/rId295.png" ContentType="image/png"/>
  <Override PartName="/word/media/rId377.png" ContentType="image/png"/>
  <Override PartName="/word/media/rId412.png" ContentType="image/png"/>
  <Override PartName="/word/media/rId402.png" ContentType="image/png"/>
  <Override PartName="/word/media/rId358.png" ContentType="image/png"/>
  <Override PartName="/word/media/rId387.png" ContentType="image/png"/>
  <Override PartName="/word/media/rId435.png" ContentType="image/png"/>
  <Override PartName="/word/media/rId426.png" ContentType="image/png"/>
  <Override PartName="/word/media/rId420.png" ContentType="image/png"/>
  <Override PartName="/word/media/rId416.png" ContentType="image/png"/>
  <Override PartName="/word/media/rId406.png" ContentType="image/png"/>
  <Override PartName="/word/media/rId366.png" ContentType="image/png"/>
  <Override PartName="/word/media/rId430.png" ContentType="image/png"/>
  <Override PartName="/word/media/rId449.png" ContentType="image/png"/>
  <Override PartName="/word/media/rId148.svg" ContentType="image/svg+xml"/>
  <Override PartName="/word/media/rId14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2025-01-15</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C</m:t>
        </m:r>
      </m:oMath>
      <w:r>
        <w:t xml:space="preserve"> </w:t>
      </w:r>
      <w:r>
        <w:t xml:space="preserve">… C Eingang</w:t>
      </w:r>
    </w:p>
    <w:p>
      <w:pPr>
        <w:pStyle w:val="BodyText"/>
      </w:pPr>
      <m:oMath>
        <m:r>
          <m:t>A</m:t>
        </m:r>
      </m:oMath>
      <w:r>
        <w:t xml:space="preserve"> </w:t>
      </w:r>
      <w:r>
        <w:t xml:space="preserve">… A Eingang</w:t>
      </w:r>
    </w:p>
    <w:p>
      <w:pPr>
        <w:pStyle w:val="BodyText"/>
      </w:pPr>
      <m:oMath>
        <m:r>
          <m:t>D</m:t>
        </m:r>
      </m:oMath>
      <w:r>
        <w:t xml:space="preserve"> </w:t>
      </w:r>
      <w:r>
        <w:t xml:space="preserve">… D Eingang</w:t>
      </w:r>
    </w:p>
    <w:p>
      <w:pPr>
        <w:pStyle w:val="BodyText"/>
      </w:pPr>
      <m:oMath>
        <m:r>
          <m:t>B</m:t>
        </m:r>
      </m:oMath>
      <w:r>
        <w:t xml:space="preserve"> </w:t>
      </w:r>
      <w:r>
        <w:t xml:space="preserve">… B Eingang</w:t>
      </w:r>
    </w:p>
    <w:p>
      <w:pPr>
        <w:pStyle w:val="BodyText"/>
      </w:pPr>
      <m:oMath>
        <m:r>
          <m:t>Y</m:t>
        </m:r>
      </m:oMath>
      <w:r>
        <w:t xml:space="preserve"> </w:t>
      </w:r>
      <w:r>
        <w:t xml:space="preserve">… Y Ausgang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5019675" cy="297180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019675"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9"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Gleichungen aufgestellt, welche die Schaltung rechnerisch beschreiben.</w:t>
      </w:r>
      <w:r>
        <w:t xml:space="preserve"> </w:t>
      </w:r>
      <w:r>
        <w:t xml:space="preserve">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Spannungsabfall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87"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bookmarkStart w:id="67" w:name="alle-ströme-und-spannungen-einzeichnen"/>
    <w:p>
      <w:pPr>
        <w:pStyle w:val="Heading3"/>
      </w:pPr>
      <w:r>
        <w:t xml:space="preserve">2.3.1 Alle Ströme und Spannungen einzeichnen</w:t>
      </w:r>
    </w:p>
    <w:bookmarkEnd w:id="67"/>
    <w:bookmarkStart w:id="68" w:name="bekannte-größen"/>
    <w:p>
      <w:pPr>
        <w:pStyle w:val="Heading3"/>
      </w:pPr>
      <w:r>
        <w:t xml:space="preserve">2.3.2 Bekannte Größen</w:t>
      </w:r>
    </w:p>
    <w:p>
      <w:pPr>
        <w:pStyle w:val="FirstParagraph"/>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bookmarkEnd w:id="68"/>
    <w:bookmarkStart w:id="69" w:name="unbekannte-größen-definieren"/>
    <w:p>
      <w:pPr>
        <w:pStyle w:val="Heading3"/>
      </w:pPr>
      <w:r>
        <w:t xml:space="preserve">2.3.3 Unbekannte Größen definieren</w:t>
      </w:r>
    </w:p>
    <w:p>
      <w:pPr>
        <w:pStyle w:val="FirstParagraph"/>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bookmarkEnd w:id="69"/>
    <w:bookmarkStart w:id="70" w:name="knoten-und-maschen-einzeichnen"/>
    <w:p>
      <w:pPr>
        <w:pStyle w:val="Heading3"/>
      </w:pPr>
      <w:r>
        <w:t xml:space="preserve">2.3.4 Knoten und Maschen einzeichnen</w:t>
      </w:r>
    </w:p>
    <w:p>
      <w:pPr>
        <w:pStyle w:val="FirstParagraph"/>
      </w:pPr>
      <w:r>
        <w:t xml:space="preserve">Siehe</w:t>
      </w:r>
      <w:r>
        <w:t xml:space="preserve"> </w:t>
      </w:r>
      <w:hyperlink w:anchor="fig-KSA3">
        <w:r>
          <w:rPr>
            <w:rStyle w:val="Hyperlink"/>
          </w:rPr>
          <w:t xml:space="preserve">Abbildung 2.3</w:t>
        </w:r>
      </w:hyperlink>
    </w:p>
    <w:bookmarkEnd w:id="70"/>
    <w:bookmarkStart w:id="74" w:name="X5f6a44e7de67f2d358cfcdde842134d1ba889e7"/>
    <w:p>
      <w:pPr>
        <w:pStyle w:val="Heading3"/>
      </w:pPr>
      <w:r>
        <w:t xml:space="preserve">2.3.5 Knoten- und Maschengleichungen aufstellen</w:t>
      </w:r>
    </w:p>
    <w:p>
      <w:pPr>
        <w:pStyle w:val="FirstParagraph"/>
      </w:pPr>
      <w:r>
        <w:t xml:space="preserve">Maschengleichungen</w:t>
      </w:r>
    </w:p>
    <w:p>
      <w:pPr>
        <w:pStyle w:val="BodyText"/>
      </w:pPr>
      <w:bookmarkStart w:id="71"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71"/>
    </w:p>
    <w:p>
      <w:pPr>
        <w:pStyle w:val="FirstParagraph"/>
      </w:pPr>
      <w:bookmarkStart w:id="72"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72"/>
    </w:p>
    <w:p>
      <w:pPr>
        <w:pStyle w:val="FirstParagraph"/>
      </w:pPr>
      <w:r>
        <w:t xml:space="preserve">Knotengleichungen</w:t>
      </w:r>
    </w:p>
    <w:p>
      <w:pPr>
        <w:pStyle w:val="BodyText"/>
      </w:pPr>
      <w:bookmarkStart w:id="73"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73"/>
    </w:p>
    <w:bookmarkEnd w:id="74"/>
    <w:bookmarkStart w:id="78" w:name="X60bd13131b594c3ff9f9c70778a65658527dda7"/>
    <w:p>
      <w:pPr>
        <w:pStyle w:val="Heading3"/>
      </w:pPr>
      <w:r>
        <w:t xml:space="preserve">2.3.6 Ohmsche Gesetze für die Widerstände anschreiben</w:t>
      </w:r>
    </w:p>
    <w:p>
      <w:pPr>
        <w:pStyle w:val="FirstParagraph"/>
      </w:pPr>
      <w:r>
        <w:t xml:space="preserve">Ohmsches Gesetz</w:t>
      </w:r>
    </w:p>
    <w:p>
      <w:pPr>
        <w:pStyle w:val="BodyText"/>
      </w:pPr>
      <w:bookmarkStart w:id="7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5"/>
    </w:p>
    <w:p>
      <w:pPr>
        <w:pStyle w:val="FirstParagraph"/>
      </w:pPr>
      <w:bookmarkStart w:id="7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6"/>
    </w:p>
    <w:p>
      <w:pPr>
        <w:pStyle w:val="FirstParagraph"/>
      </w:pPr>
      <w:bookmarkStart w:id="77"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7"/>
    </w:p>
    <w:bookmarkEnd w:id="78"/>
    <w:bookmarkStart w:id="79" w:name="Xa9af3eaacbc9fbb2f2277e0d1c1d8a533c3160e"/>
    <w:p>
      <w:pPr>
        <w:pStyle w:val="Heading3"/>
      </w:pPr>
      <w:r>
        <w:t xml:space="preserve">2.3.7 Überprüfen ob es gleich viele Gleichungen wie Unbekannte gibt</w:t>
      </w:r>
    </w:p>
    <w:p>
      <w:pPr>
        <w:pStyle w:val="FirstParagraph"/>
      </w:pPr>
      <w:r>
        <w:t xml:space="preserve">Passt, es gibt 6 Gleichungen und 6 Unbekannte.</w:t>
      </w:r>
    </w:p>
    <w:bookmarkEnd w:id="79"/>
    <w:bookmarkStart w:id="86" w:name="gleichungssystem-lösen"/>
    <w:p>
      <w:pPr>
        <w:pStyle w:val="Heading3"/>
      </w:pPr>
      <w:r>
        <w:t xml:space="preserve">2.3.8 Gleichungssystem lösen</w:t>
      </w:r>
    </w:p>
    <w:p>
      <w:pPr>
        <w:pStyle w:val="FirstParagraph"/>
      </w:pPr>
      <w:r>
        <w:t xml:space="preserve">Das Gleichungssystem kann mit der Hand gelöst werden. Für komplexere Schaltungen ist es sinnvoll, ein Computerprogramm zu verwenden.</w:t>
      </w:r>
    </w:p>
    <w:p>
      <w:pPr>
        <w:pStyle w:val="BodyText"/>
      </w:pPr>
      <w:bookmarkStart w:id="80"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80"/>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81"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81"/>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82"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82"/>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83"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83"/>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84"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84"/>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85"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85"/>
    </w:p>
    <w:p>
      <w:pPr>
        <w:pStyle w:val="FirstParagraph"/>
      </w:pPr>
      <m:oMathPara>
        <m:oMathParaPr>
          <m:jc m:val="center"/>
        </m:oMathParaPr>
        <m:oMath>
          <m:r>
            <m:t>I</m:t>
          </m:r>
          <m:r>
            <m:rPr>
              <m:sty m:val="p"/>
            </m:rPr>
            <m:t>=</m:t>
          </m:r>
          <m:r>
            <m:rPr>
              <m:nor/>
              <m:sty m:val="p"/>
            </m:rPr>
            <m:t>14</m:t>
          </m:r>
          <m:r>
            <m:t> </m:t>
          </m:r>
          <m:r>
            <m:rPr>
              <m:nor/>
              <m:sty m:val="p"/>
            </m:rPr>
            <m:t>mA</m:t>
          </m:r>
        </m:oMath>
      </m:oMathPara>
    </w:p>
    <w:bookmarkEnd w:id="86"/>
    <w:bookmarkEnd w:id="87"/>
    <w:bookmarkStart w:id="110"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91" w:name="fig-KSA4"/>
          <w:p>
            <w:pPr>
              <w:pStyle w:val="Compact"/>
              <w:jc w:val="center"/>
            </w:pPr>
            <w:r>
              <w:drawing>
                <wp:inline>
                  <wp:extent cx="5334000" cy="3140363"/>
                  <wp:effectExtent b="0" l="0" r="0" t="0"/>
                  <wp:docPr descr="" title="" id="89" name="Picture"/>
                  <a:graphic>
                    <a:graphicData uri="http://schemas.openxmlformats.org/drawingml/2006/picture">
                      <pic:pic>
                        <pic:nvPicPr>
                          <pic:cNvPr descr="GET/Grafiken/KSA_4.png" id="90" name="Picture"/>
                          <pic:cNvPicPr>
                            <a:picLocks noChangeArrowheads="1" noChangeAspect="1"/>
                          </pic:cNvPicPr>
                        </pic:nvPicPr>
                        <pic:blipFill>
                          <a:blip r:embed="rId88"/>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9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92"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92"/>
    </w:p>
    <w:p>
      <w:pPr>
        <w:pStyle w:val="FirstParagraph"/>
      </w:pPr>
      <w:bookmarkStart w:id="93"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93"/>
    </w:p>
    <w:p>
      <w:pPr>
        <w:pStyle w:val="FirstParagraph"/>
      </w:pPr>
      <w:bookmarkStart w:id="94"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94"/>
    </w:p>
    <w:p>
      <w:pPr>
        <w:pStyle w:val="FirstParagraph"/>
      </w:pPr>
      <w:r>
        <w:t xml:space="preserve">Knotengleichungen</w:t>
      </w:r>
    </w:p>
    <w:p>
      <w:pPr>
        <w:pStyle w:val="BodyText"/>
      </w:pPr>
      <w:bookmarkStart w:id="95"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95"/>
    </w:p>
    <w:p>
      <w:pPr>
        <w:pStyle w:val="FirstParagraph"/>
      </w:pPr>
      <w:bookmarkStart w:id="96"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96"/>
    </w:p>
    <w:p>
      <w:pPr>
        <w:pStyle w:val="FirstParagraph"/>
      </w:pPr>
      <w:bookmarkStart w:id="97"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97"/>
    </w:p>
    <w:p>
      <w:pPr>
        <w:pStyle w:val="FirstParagraph"/>
      </w:pPr>
      <w:r>
        <w:rPr>
          <w:bCs/>
          <w:b/>
        </w:rPr>
        <w:t xml:space="preserve">5. Ohmsche Gesetze für die Widerstände anschreiben</w:t>
      </w:r>
    </w:p>
    <w:p>
      <w:pPr>
        <w:pStyle w:val="BodyText"/>
      </w:pPr>
      <w:r>
        <w:t xml:space="preserve">Ohmsches Gesetz</w:t>
      </w:r>
    </w:p>
    <w:p>
      <w:pPr>
        <w:pStyle w:val="BodyText"/>
      </w:pPr>
      <w:bookmarkStart w:id="98"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8"/>
    </w:p>
    <w:p>
      <w:pPr>
        <w:pStyle w:val="FirstParagraph"/>
      </w:pPr>
      <w:bookmarkStart w:id="99"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9"/>
    </w:p>
    <w:p>
      <w:pPr>
        <w:pStyle w:val="FirstParagraph"/>
      </w:pPr>
      <w:bookmarkStart w:id="100"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100"/>
    </w:p>
    <w:p>
      <w:pPr>
        <w:pStyle w:val="FirstParagraph"/>
      </w:pPr>
      <w:r>
        <w:rPr>
          <w:bCs/>
          <w:b/>
        </w:rPr>
        <w:t xml:space="preserve">6. Überprüfen ob es gleich viele Gleichungen wie Unbekannte gibt</w:t>
      </w:r>
      <w:r>
        <w:br/>
      </w:r>
      <w:r>
        <w:t xml:space="preserve">Passt,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101"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101"/>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102"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102"/>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103"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103"/>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104"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104"/>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105"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105"/>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106"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106"/>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107"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107"/>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8"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8"/>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9"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9"/>
    </w:p>
    <w:p>
      <w:pPr>
        <w:pStyle w:val="FirstParagraph"/>
      </w:pPr>
      <m:oMathPara>
        <m:oMathParaPr>
          <m:jc m:val="center"/>
        </m:oMathParaPr>
        <m:oMath>
          <m:r>
            <m:t>I</m:t>
          </m:r>
          <m:r>
            <m:rPr>
              <m:sty m:val="p"/>
            </m:rPr>
            <m:t>=</m:t>
          </m:r>
          <m:r>
            <m:rPr>
              <m:nor/>
              <m:sty m:val="p"/>
            </m:rPr>
            <m:t>18</m:t>
          </m:r>
          <m:r>
            <m:t> </m:t>
          </m:r>
          <m:r>
            <m:rPr>
              <m:nor/>
              <m:sty m:val="p"/>
            </m:rPr>
            <m:t>mA</m:t>
          </m:r>
        </m:oMath>
      </m:oMathPara>
    </w:p>
    <w:bookmarkEnd w:id="110"/>
    <w:bookmarkStart w:id="138"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14" w:name="fig-KSA5"/>
          <w:p>
            <w:pPr>
              <w:pStyle w:val="Compact"/>
              <w:jc w:val="center"/>
            </w:pPr>
            <w:r>
              <w:drawing>
                <wp:inline>
                  <wp:extent cx="4188335" cy="3708755"/>
                  <wp:effectExtent b="0" l="0" r="0" t="0"/>
                  <wp:docPr descr="" title="" id="112" name="Picture"/>
                  <a:graphic>
                    <a:graphicData uri="http://schemas.openxmlformats.org/drawingml/2006/picture">
                      <pic:pic>
                        <pic:nvPicPr>
                          <pic:cNvPr descr="GET/Grafiken/KSA_5.png" id="113" name="Picture"/>
                          <pic:cNvPicPr>
                            <a:picLocks noChangeArrowheads="1" noChangeAspect="1"/>
                          </pic:cNvPicPr>
                        </pic:nvPicPr>
                        <pic:blipFill>
                          <a:blip r:embed="rId111"/>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1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Spannungsabfall an R1</w:t>
      </w:r>
    </w:p>
    <w:p>
      <w:pPr>
        <w:pStyle w:val="BodyText"/>
      </w:pPr>
      <m:oMath>
        <m:sSub>
          <m:e>
            <m:r>
              <m:t>U</m:t>
            </m:r>
          </m:e>
          <m:sub>
            <m:r>
              <m:t>R</m:t>
            </m:r>
            <m:r>
              <m:t>2</m:t>
            </m:r>
          </m:sub>
        </m:sSub>
      </m:oMath>
      <w:r>
        <w:t xml:space="preserve"> </w:t>
      </w:r>
      <w:r>
        <w:t xml:space="preserve">… Spannungsabfall an R2</w:t>
      </w:r>
    </w:p>
    <w:p>
      <w:pPr>
        <w:pStyle w:val="BodyText"/>
      </w:pPr>
      <m:oMath>
        <m:sSub>
          <m:e>
            <m:r>
              <m:t>U</m:t>
            </m:r>
          </m:e>
          <m:sub>
            <m:r>
              <m:t>R</m:t>
            </m:r>
            <m:r>
              <m:t>3</m:t>
            </m:r>
          </m:sub>
        </m:sSub>
      </m:oMath>
      <w:r>
        <w:t xml:space="preserve"> </w:t>
      </w:r>
      <w:r>
        <w:t xml:space="preserve">… Spannungsabfall an R3</w:t>
      </w:r>
    </w:p>
    <w:p>
      <w:pPr>
        <w:pStyle w:val="BodyText"/>
      </w:pPr>
      <m:oMath>
        <m:sSub>
          <m:e>
            <m:r>
              <m:t>U</m:t>
            </m:r>
          </m:e>
          <m:sub>
            <m:r>
              <m:t>R</m:t>
            </m:r>
            <m:r>
              <m:t>4</m:t>
            </m:r>
          </m:sub>
        </m:sSub>
      </m:oMath>
      <w:r>
        <w:t xml:space="preserve"> </w:t>
      </w:r>
      <w:r>
        <w:t xml:space="preserve">… Spannungsabfall an R4</w:t>
      </w:r>
    </w:p>
    <w:p>
      <w:pPr>
        <w:pStyle w:val="BodyText"/>
      </w:pPr>
      <m:oMath>
        <m:sSub>
          <m:e>
            <m:r>
              <m:t>U</m:t>
            </m:r>
          </m:e>
          <m:sub>
            <m:r>
              <m:t>R</m:t>
            </m:r>
            <m:r>
              <m:t>5</m:t>
            </m:r>
          </m:sub>
        </m:sSub>
      </m:oMath>
      <w:r>
        <w:t xml:space="preserve"> </w:t>
      </w:r>
      <w:r>
        <w:t xml:space="preserve">… Spannungsabfall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15"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15"/>
    </w:p>
    <w:p>
      <w:pPr>
        <w:pStyle w:val="FirstParagraph"/>
      </w:pPr>
      <w:bookmarkStart w:id="116"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16"/>
    </w:p>
    <w:p>
      <w:pPr>
        <w:pStyle w:val="FirstParagraph"/>
      </w:pPr>
      <w:bookmarkStart w:id="117"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17"/>
    </w:p>
    <w:p>
      <w:pPr>
        <w:pStyle w:val="FirstParagraph"/>
      </w:pPr>
      <w:r>
        <w:t xml:space="preserve">Knotengleichungen</w:t>
      </w:r>
    </w:p>
    <w:p>
      <w:pPr>
        <w:pStyle w:val="BodyText"/>
      </w:pPr>
      <w:bookmarkStart w:id="118"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8"/>
    </w:p>
    <w:p>
      <w:pPr>
        <w:pStyle w:val="FirstParagraph"/>
      </w:pPr>
      <w:bookmarkStart w:id="119"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9"/>
    </w:p>
    <w:p>
      <w:pPr>
        <w:pStyle w:val="FirstParagraph"/>
      </w:pPr>
      <w:bookmarkStart w:id="120"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20"/>
    </w:p>
    <w:p>
      <w:pPr>
        <w:pStyle w:val="FirstParagraph"/>
      </w:pPr>
      <w:bookmarkStart w:id="121"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21"/>
    </w:p>
    <w:p>
      <w:pPr>
        <w:pStyle w:val="FirstParagraph"/>
      </w:pPr>
      <w:r>
        <w:rPr>
          <w:bCs/>
          <w:b/>
        </w:rPr>
        <w:t xml:space="preserve">5. Ohmsche Gesetze für die Widerstände anschreiben</w:t>
      </w:r>
    </w:p>
    <w:p>
      <w:pPr>
        <w:pStyle w:val="BodyText"/>
      </w:pPr>
      <w:r>
        <w:t xml:space="preserve">Ohmsches Gesetz</w:t>
      </w:r>
    </w:p>
    <w:p>
      <w:pPr>
        <w:pStyle w:val="BodyText"/>
      </w:pPr>
      <w:bookmarkStart w:id="122"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22"/>
    </w:p>
    <w:p>
      <w:pPr>
        <w:pStyle w:val="FirstParagraph"/>
      </w:pPr>
      <w:bookmarkStart w:id="123"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23"/>
    </w:p>
    <w:p>
      <w:pPr>
        <w:pStyle w:val="FirstParagraph"/>
      </w:pPr>
      <w:bookmarkStart w:id="124"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24"/>
    </w:p>
    <w:p>
      <w:pPr>
        <w:pStyle w:val="FirstParagraph"/>
      </w:pPr>
      <w:bookmarkStart w:id="125"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25"/>
    </w:p>
    <w:p>
      <w:pPr>
        <w:pStyle w:val="FirstParagraph"/>
      </w:pPr>
      <w:bookmarkStart w:id="126"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26"/>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27"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27"/>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8"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8"/>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9"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9"/>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30"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30"/>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31"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31"/>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32"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32"/>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33"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33"/>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34"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34"/>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35"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35"/>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36"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36"/>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37"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37"/>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8"/>
    <w:bookmarkEnd w:id="139"/>
    <w:bookmarkStart w:id="166" w:name="der-transistor"/>
    <w:p>
      <w:pPr>
        <w:pStyle w:val="Heading1"/>
      </w:pPr>
      <w:r>
        <w:t xml:space="preserve">3. Der Transistor</w:t>
      </w:r>
    </w:p>
    <w:bookmarkStart w:id="147" w:name="sec-MOSFET"/>
    <w:p>
      <w:pPr>
        <w:pStyle w:val="Heading2"/>
      </w:pPr>
      <w:r>
        <w:t xml:space="preserve">3.1 Feldeffekttransistor</w:t>
      </w:r>
    </w:p>
    <w:p>
      <w:pPr>
        <w:pStyle w:val="FirstParagraph"/>
      </w:pPr>
      <w:r>
        <w:t xml:space="preserve">Die einfachste und gleichzeitig eine der wichtigsten Anwendungen des MOSFETs ist der Schalter. Mittels Spannung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43" w:name="fig-n-Channel_switch"/>
          <w:p>
            <w:pPr>
              <w:pStyle w:val="Compact"/>
              <w:jc w:val="center"/>
            </w:pPr>
            <w:r>
              <w:drawing>
                <wp:inline>
                  <wp:extent cx="3724275" cy="3495675"/>
                  <wp:effectExtent b="0" l="0" r="0" t="0"/>
                  <wp:docPr descr="" title="" id="141" name="Picture"/>
                  <a:graphic>
                    <a:graphicData uri="http://schemas.openxmlformats.org/drawingml/2006/picture">
                      <pic:pic>
                        <pic:nvPicPr>
                          <pic:cNvPr descr="Transistoren/Grafiken/NChannelenhancementSwitch.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43"/>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46" w:name="aufgabe"/>
    <w:p>
      <w:pPr>
        <w:pStyle w:val="Heading3"/>
      </w:pPr>
      <w:r>
        <w:t xml:space="preserve">3.1.1 Aufgabe</w:t>
      </w:r>
    </w:p>
    <w:bookmarkStart w:id="144" w:name="teil-1-n-kanal-anreicherungstyp"/>
    <w:p>
      <w:pPr>
        <w:pStyle w:val="Heading4"/>
      </w:pPr>
      <w:r>
        <w:t xml:space="preserve">3.1.1.1 Teil 1: N-Kanal Anreicherungstyp</w:t>
      </w:r>
    </w:p>
    <w:p>
      <w:pPr>
        <w:pStyle w:val="FirstParagraph"/>
      </w:pPr>
      <w:r>
        <w:t xml:space="preserve">Simulieren Sie die gegebene Schaltung. Wählen Sie die Spannungen aus dem Datenblatt aus. Geben Sie für zwei Eingangspulse den Strom durch, und die Spannung über den Widerstand an.</w:t>
      </w:r>
      <w:r>
        <w:t xml:space="preserve"> </w:t>
      </w:r>
      <w:r>
        <w:t xml:space="preserve">Verwenden Sie dafür die Transientenanalyse und geben Sie deutlich an, ob das Ergebnis den Erwartungen entspricht oder nicht. Argumentieren Sie Ihre Aussage.</w:t>
      </w:r>
    </w:p>
    <w:bookmarkEnd w:id="144"/>
    <w:bookmarkStart w:id="145"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45"/>
    <w:bookmarkEnd w:id="146"/>
    <w:bookmarkEnd w:id="147"/>
    <w:bookmarkStart w:id="165" w:name="sec-BJT"/>
    <w:p>
      <w:pPr>
        <w:pStyle w:val="Heading2"/>
      </w:pPr>
      <w:r>
        <w:t xml:space="preserve">3.2 Bipolartransistor</w:t>
      </w:r>
    </w:p>
    <w:bookmarkStart w:id="152"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51" w:name="fig-BJT_Emitter_mit_Re"/>
          <w:p>
            <w:pPr>
              <w:pStyle w:val="Compact"/>
              <w:jc w:val="center"/>
            </w:pPr>
            <w:r>
              <w:drawing>
                <wp:inline>
                  <wp:extent cx="5334000" cy="3876360"/>
                  <wp:effectExtent b="0" l="0" r="0" t="0"/>
                  <wp:docPr descr="" title="" id="149" name="Picture"/>
                  <a:graphic>
                    <a:graphicData uri="http://schemas.openxmlformats.org/drawingml/2006/picture">
                      <pic:pic>
                        <pic:nvPicPr>
                          <pic:cNvPr descr="Transistoren/Grafiken/BJTEmitterschaltung_mitRE.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51"/>
        </w:tc>
      </w:tr>
    </w:tbl>
    <w:bookmarkEnd w:id="152"/>
    <w:bookmarkStart w:id="159" w:name="aufgabenstellung"/>
    <w:p>
      <w:pPr>
        <w:pStyle w:val="Heading3"/>
      </w:pPr>
      <w:r>
        <w:t xml:space="preserve">3.2.2 Aufgabenstellung</w:t>
      </w:r>
    </w:p>
    <w:p>
      <w:pPr>
        <w:pStyle w:val="FirstParagraph"/>
      </w:pPr>
      <w:r>
        <w:t xml:space="preserve">Entwerfen Sie einen Spannungsverstärker mit gegebenen Werten.</w:t>
      </w:r>
    </w:p>
    <w:p>
      <w:pPr>
        <w:pStyle w:val="BodyText"/>
      </w:pPr>
      <w:bookmarkStart w:id="153"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53"/>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8" w:name="gegeben"/>
    <w:p>
      <w:pPr>
        <w:pStyle w:val="Heading4"/>
      </w:pPr>
      <w:r>
        <w:t xml:space="preserve">3.2.2.1 Gegeben</w:t>
      </w:r>
    </w:p>
    <w:bookmarkStart w:id="154"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54"/>
    <w:bookmarkStart w:id="155"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55"/>
    <w:bookmarkStart w:id="157"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56"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56"/>
    </w:p>
    <w:bookmarkEnd w:id="157"/>
    <w:bookmarkEnd w:id="158"/>
    <w:bookmarkEnd w:id="159"/>
    <w:bookmarkStart w:id="163"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60"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60"/>
    </w:p>
    <w:p>
      <w:pPr>
        <w:pStyle w:val="FirstParagraph"/>
      </w:pPr>
      <w:bookmarkStart w:id="161"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61"/>
    </w:p>
    <w:p>
      <w:pPr>
        <w:pStyle w:val="FirstParagraph"/>
      </w:pPr>
      <w:bookmarkStart w:id="162"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62"/>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63"/>
    <w:bookmarkStart w:id="164"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64"/>
    <w:bookmarkEnd w:id="165"/>
    <w:bookmarkEnd w:id="166"/>
    <w:bookmarkStart w:id="292"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70" w:name="fig-BJT-AP_Ruhestrom"/>
          <w:p>
            <w:pPr>
              <w:pStyle w:val="Compact"/>
              <w:jc w:val="center"/>
            </w:pPr>
            <w:r>
              <w:drawing>
                <wp:inline>
                  <wp:extent cx="5334000" cy="4960478"/>
                  <wp:effectExtent b="0" l="0" r="0" t="0"/>
                  <wp:docPr descr="" title="" id="168" name="Picture"/>
                  <a:graphic>
                    <a:graphicData uri="http://schemas.openxmlformats.org/drawingml/2006/picture">
                      <pic:pic>
                        <pic:nvPicPr>
                          <pic:cNvPr descr="Projekte/Grafiken/BJT_Kennlinie_AP_Ruhestrom.png" id="169" name="Picture"/>
                          <pic:cNvPicPr>
                            <a:picLocks noChangeArrowheads="1" noChangeAspect="1"/>
                          </pic:cNvPicPr>
                        </pic:nvPicPr>
                        <pic:blipFill>
                          <a:blip r:embed="rId167"/>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70"/>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9"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Die Betriebsart wird hier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74" w:name="fig-BJT_Gegen"/>
          <w:p>
            <w:pPr>
              <w:pStyle w:val="Compact"/>
              <w:jc w:val="center"/>
            </w:pPr>
            <w:r>
              <w:drawing>
                <wp:inline>
                  <wp:extent cx="5334000" cy="4870760"/>
                  <wp:effectExtent b="0" l="0" r="0" t="0"/>
                  <wp:docPr descr="" title="" id="172" name="Picture"/>
                  <a:graphic>
                    <a:graphicData uri="http://schemas.openxmlformats.org/drawingml/2006/picture">
                      <pic:pic>
                        <pic:nvPicPr>
                          <pic:cNvPr descr="Projekte/Grafiken/01_LV_Gegentaktendstufe.png" id="173" name="Picture"/>
                          <pic:cNvPicPr>
                            <a:picLocks noChangeArrowheads="1" noChangeAspect="1"/>
                          </pic:cNvPicPr>
                        </pic:nvPicPr>
                        <pic:blipFill>
                          <a:blip r:embed="rId171"/>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74"/>
        </w:tc>
      </w:tr>
    </w:tbl>
    <w:p>
      <w:pPr>
        <w:pStyle w:val="BodyText"/>
      </w:pPr>
      <w:r>
        <w:t xml:space="preserve">Wird diese Schaltung einem Test unterzogen, zeigt sich, dass das Ergebnis wenig zufriedenstellend ist. Weder wird die Amplitude erreicht, das Signal wird gedämpft, noch folgt der Ausgang dem sinusförmigen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8" w:name="fig-BJT_Gegen_Sim1"/>
          <w:p>
            <w:pPr>
              <w:pStyle w:val="Compact"/>
              <w:jc w:val="center"/>
            </w:pPr>
            <w:r>
              <w:drawing>
                <wp:inline>
                  <wp:extent cx="5334000" cy="7620000"/>
                  <wp:effectExtent b="0" l="0" r="0" t="0"/>
                  <wp:docPr descr="" title="" id="176" name="Picture"/>
                  <a:graphic>
                    <a:graphicData uri="http://schemas.openxmlformats.org/drawingml/2006/picture">
                      <pic:pic>
                        <pic:nvPicPr>
                          <pic:cNvPr descr="Projekte/Grafiken/01_Transient%20Analysis.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9"/>
    <w:bookmarkStart w:id="188"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einen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83" w:name="fig-BJT_GegenRueck"/>
          <w:p>
            <w:pPr>
              <w:pStyle w:val="Compact"/>
              <w:jc w:val="center"/>
            </w:pPr>
            <w:r>
              <w:drawing>
                <wp:inline>
                  <wp:extent cx="5334000" cy="4019641"/>
                  <wp:effectExtent b="0" l="0" r="0" t="0"/>
                  <wp:docPr descr="" title="" id="181" name="Picture"/>
                  <a:graphic>
                    <a:graphicData uri="http://schemas.openxmlformats.org/drawingml/2006/picture">
                      <pic:pic>
                        <pic:nvPicPr>
                          <pic:cNvPr descr="Projekte/Grafiken/02_LV_Rueckkopplung.png" id="182" name="Picture"/>
                          <pic:cNvPicPr>
                            <a:picLocks noChangeArrowheads="1" noChangeAspect="1"/>
                          </pic:cNvPicPr>
                        </pic:nvPicPr>
                        <pic:blipFill>
                          <a:blip r:embed="rId180"/>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83"/>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87" w:name="fig-BJT_GegenRueckSim"/>
          <w:p>
            <w:pPr>
              <w:pStyle w:val="Compact"/>
              <w:jc w:val="center"/>
            </w:pPr>
            <w:r>
              <w:drawing>
                <wp:inline>
                  <wp:extent cx="5334000" cy="7620000"/>
                  <wp:effectExtent b="0" l="0" r="0" t="0"/>
                  <wp:docPr descr="" title="" id="185" name="Picture"/>
                  <a:graphic>
                    <a:graphicData uri="http://schemas.openxmlformats.org/drawingml/2006/picture">
                      <pic:pic>
                        <pic:nvPicPr>
                          <pic:cNvPr descr="Projekte/Grafiken/02_Transient%20Analysis.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8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8"/>
    <w:bookmarkStart w:id="203"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
          <w:p>
            <w:pPr>
              <w:pStyle w:val="Compact"/>
              <w:jc w:val="center"/>
            </w:pPr>
            <w:r>
              <w:drawing>
                <wp:inline>
                  <wp:extent cx="5334000" cy="3281896"/>
                  <wp:effectExtent b="0" l="0" r="0" t="0"/>
                  <wp:docPr descr="" title="" id="190" name="Picture"/>
                  <a:graphic>
                    <a:graphicData uri="http://schemas.openxmlformats.org/drawingml/2006/picture">
                      <pic:pic>
                        <pic:nvPicPr>
                          <pic:cNvPr descr="Projekte/Grafiken/03_LV_Vorspannung.png" id="191" name="Picture"/>
                          <pic:cNvPicPr>
                            <a:picLocks noChangeArrowheads="1" noChangeAspect="1"/>
                          </pic:cNvPicPr>
                        </pic:nvPicPr>
                        <pic:blipFill>
                          <a:blip r:embed="rId189"/>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92"/>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wie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96" w:name="fig-BJT_GegenRueckVorDCSw"/>
          <w:p>
            <w:pPr>
              <w:pStyle w:val="Compact"/>
              <w:jc w:val="center"/>
            </w:pPr>
            <w:r>
              <w:drawing>
                <wp:inline>
                  <wp:extent cx="5334000" cy="3810000"/>
                  <wp:effectExtent b="0" l="0" r="0" t="0"/>
                  <wp:docPr descr="" title="" id="194" name="Picture"/>
                  <a:graphic>
                    <a:graphicData uri="http://schemas.openxmlformats.org/drawingml/2006/picture">
                      <pic:pic>
                        <pic:nvPicPr>
                          <pic:cNvPr descr="Projekte/Grafiken/03_DCSweepVorspannung.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9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200" w:name="fig-BJT_GegenRueckVorSim1"/>
          <w:p>
            <w:pPr>
              <w:pStyle w:val="Compact"/>
              <w:jc w:val="center"/>
            </w:pPr>
            <w:r>
              <w:drawing>
                <wp:inline>
                  <wp:extent cx="5334000" cy="7620000"/>
                  <wp:effectExtent b="0" l="0" r="0" t="0"/>
                  <wp:docPr descr="" title="" id="198" name="Picture"/>
                  <a:graphic>
                    <a:graphicData uri="http://schemas.openxmlformats.org/drawingml/2006/picture">
                      <pic:pic>
                        <pic:nvPicPr>
                          <pic:cNvPr descr="Projekte/Grafiken/03_Transient%20Analysis.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20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1" name="Picture"/>
                  <a:graphic>
                    <a:graphicData uri="http://schemas.openxmlformats.org/drawingml/2006/picture">
                      <pic:pic>
                        <pic:nvPicPr>
                          <pic:cNvPr descr="C:\Users\leo\AppData\Local\Programs\Quarto\share\formats\docx\note.png" id="2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203"/>
    <w:bookmarkStart w:id="256"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welche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207" w:name="fig-BJT_GegenRueckVorReal2"/>
          <w:p>
            <w:pPr>
              <w:pStyle w:val="Compact"/>
              <w:jc w:val="center"/>
            </w:pPr>
            <w:r>
              <w:drawing>
                <wp:inline>
                  <wp:extent cx="2097365" cy="1470713"/>
                  <wp:effectExtent b="0" l="0" r="0" t="0"/>
                  <wp:docPr descr="" title="" id="205" name="Picture"/>
                  <a:graphic>
                    <a:graphicData uri="http://schemas.openxmlformats.org/drawingml/2006/picture">
                      <pic:pic>
                        <pic:nvPicPr>
                          <pic:cNvPr descr="Projekte/Grafiken/04.01_LV_Reale_Vorspannung.png" id="206" name="Picture"/>
                          <pic:cNvPicPr>
                            <a:picLocks noChangeArrowheads="1" noChangeAspect="1"/>
                          </pic:cNvPicPr>
                        </pic:nvPicPr>
                        <pic:blipFill>
                          <a:blip r:embed="rId204"/>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207"/>
        </w:tc>
      </w:tr>
    </w:tbl>
    <w:p>
      <w:pPr>
        <w:pStyle w:val="BodyText"/>
      </w:pPr>
      <w:r>
        <w:t xml:space="preserve">Der Ablauf ist wie folgt und gilt für alle Dimensionierungsaufgaben von Schaltungen.</w:t>
      </w:r>
    </w:p>
    <w:bookmarkStart w:id="230"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 der Vorspannungsquelle</w:t>
      </w:r>
      <w:r>
        <w:t xml:space="preserve"> </w:t>
      </w:r>
      <m:oMath>
        <m:sSub>
          <m:e>
            <m:r>
              <m:t>I</m:t>
            </m:r>
          </m:e>
          <m:sub>
            <m:r>
              <m:t>L</m:t>
            </m:r>
            <m:r>
              <m:t>m</m:t>
            </m:r>
            <m:r>
              <m:t>a</m:t>
            </m:r>
            <m:r>
              <m:t>x</m:t>
            </m:r>
            <m:r>
              <m:t>V</m:t>
            </m:r>
            <m:r>
              <m:t>v</m:t>
            </m:r>
            <m:r>
              <m:t>o</m:t>
            </m:r>
            <m:r>
              <m:t>r</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 indem der maximale Strom der Vorspannungsquelle im Betrieb mittels Simulation bestimmt wurde und mit einer gewissen Sicherheit aufgerundet wurde.</w:t>
      </w:r>
    </w:p>
    <w:p>
      <w:pPr>
        <w:pStyle w:val="BodyText"/>
      </w:pPr>
      <m:oMathPara>
        <m:oMathParaPr>
          <m:jc m:val="center"/>
        </m:oMathParaPr>
        <m:oMath>
          <m:sSub>
            <m:e>
              <m:r>
                <m:t>I</m:t>
              </m:r>
            </m:e>
            <m:sub>
              <m:r>
                <m:t>L</m:t>
              </m:r>
              <m:r>
                <m:t>m</m:t>
              </m:r>
              <m:r>
                <m:t>a</m:t>
              </m:r>
              <m:r>
                <m:t>x</m:t>
              </m:r>
              <m:r>
                <m:t>V</m:t>
              </m:r>
              <m:r>
                <m:t>v</m:t>
              </m:r>
              <m:r>
                <m:t>o</m:t>
              </m:r>
              <m:r>
                <m:t>r</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zu groß sind. Folgende</w:t>
      </w:r>
      <w:r>
        <w:t xml:space="preserve"> </w:t>
      </w:r>
      <w:r>
        <w:rPr>
          <w:iCs/>
          <w:i/>
        </w:rPr>
        <w:t xml:space="preserve">Faustregeln</w:t>
      </w:r>
      <w:r>
        <w:t xml:space="preserve"> </w:t>
      </w:r>
      <w:r>
        <w:t xml:space="preserve">gelten für die Berechnung:</w:t>
      </w:r>
    </w:p>
    <w:p>
      <w:pPr>
        <w:pStyle w:val="BodyText"/>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8"/>
    </w:p>
    <w:p>
      <w:pPr>
        <w:pStyle w:val="FirstParagraph"/>
      </w:pPr>
      <w:bookmarkStart w:id="209"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9"/>
    </w:p>
    <w:p>
      <w:pPr>
        <w:pStyle w:val="FirstParagraph"/>
      </w:pPr>
      <w:bookmarkStart w:id="210" w:name="eq-Ispg_eq"/>
      <m:oMathPara>
        <m:oMathParaPr>
          <m:jc m:val="center"/>
        </m:oMathParaPr>
        <m:oMath>
          <m:sSub>
            <m:e>
              <m:r>
                <m:t>I</m:t>
              </m:r>
            </m:e>
            <m:sub>
              <m:r>
                <m:t>S</m:t>
              </m:r>
              <m:r>
                <m:t>p</m:t>
              </m:r>
              <m:r>
                <m:t>g</m:t>
              </m:r>
            </m:sub>
          </m:sSub>
          <m:r>
            <m:rPr>
              <m:sty m:val="p"/>
            </m:rPr>
            <m:t>=</m:t>
          </m:r>
          <m:r>
            <m:t>20</m:t>
          </m:r>
          <m:sSub>
            <m:e>
              <m:r>
                <m:t>I</m:t>
              </m:r>
            </m:e>
            <m:sub>
              <m:r>
                <m:t>L</m:t>
              </m:r>
              <m:r>
                <m:t>m</m:t>
              </m:r>
              <m:r>
                <m:t>a</m:t>
              </m:r>
              <m:r>
                <m:t>x</m:t>
              </m:r>
              <m:r>
                <m:t>V</m:t>
              </m:r>
              <m:r>
                <m:t>v</m:t>
              </m:r>
              <m:r>
                <m:t>o</m:t>
              </m:r>
              <m:r>
                <m:t>r</m:t>
              </m:r>
            </m:sub>
          </m:sSub>
          <m:r>
            <m:t>  </m:t>
          </m:r>
          <m:d>
            <m:dPr>
              <m:begChr m:val="("/>
              <m:endChr m:val=")"/>
              <m:sepChr m:val=""/>
              <m:grow/>
            </m:dPr>
            <m:e>
              <m:r>
                <m:t>4.3</m:t>
              </m:r>
            </m:e>
          </m:d>
        </m:oMath>
      </m:oMathPara>
      <w:bookmarkEnd w:id="210"/>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2</m:t>
            </m:r>
          </m:sub>
        </m:sSub>
      </m:oMath>
      <w:r>
        <w:t xml:space="preserve"> </w:t>
      </w:r>
      <w:r>
        <w:t xml:space="preserve">und</w:t>
      </w:r>
      <w:r>
        <w:t xml:space="preserve"> </w:t>
      </w:r>
      <m:oMath>
        <m:sSub>
          <m:e>
            <m:r>
              <m:t>U</m:t>
            </m:r>
          </m:e>
          <m:sub>
            <m:r>
              <m:t>B</m:t>
            </m:r>
            <m:r>
              <m:t>E</m:t>
            </m:r>
          </m:sub>
        </m:sSub>
      </m:oMath>
      <w:r>
        <w:t xml:space="preserve">.</w:t>
      </w:r>
    </w:p>
    <w:p>
      <w:pPr>
        <w:pStyle w:val="BodyText"/>
      </w:pPr>
      <w:bookmarkStart w:id="211"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11"/>
    </w:p>
    <w:p>
      <w:pPr>
        <w:pStyle w:val="FirstParagraph"/>
      </w:pPr>
      <w:bookmarkStart w:id="212"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12"/>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13"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13"/>
    </w:p>
    <w:p>
      <w:pPr>
        <w:pStyle w:val="FirstParagraph"/>
      </w:pPr>
      <w:bookmarkStart w:id="214"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14"/>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eingesetzt wird.</w:t>
      </w:r>
    </w:p>
    <w:p>
      <w:pPr>
        <w:pStyle w:val="BodyText"/>
      </w:pPr>
      <w:bookmarkStart w:id="215"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15"/>
    </w:p>
    <w:p>
      <w:pPr>
        <w:pStyle w:val="FirstParagraph"/>
      </w:pPr>
      <w:bookmarkStart w:id="21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16"/>
    </w:p>
    <w:p>
      <w:pPr>
        <w:pStyle w:val="FirstParagraph"/>
      </w:pPr>
      <w:bookmarkStart w:id="217"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17"/>
    </w:p>
    <w:p>
      <w:pPr>
        <w:pStyle w:val="FirstParagraph"/>
      </w:pPr>
      <w:bookmarkStart w:id="218"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8"/>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Gleichung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9"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9"/>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20"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20"/>
    </w:p>
    <w:p>
      <w:pPr>
        <w:pStyle w:val="FirstParagraph"/>
      </w:pPr>
      <w:bookmarkStart w:id="221"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r>
                <m:t>V</m:t>
              </m:r>
              <m:r>
                <m:t>v</m:t>
              </m:r>
              <m:r>
                <m:t>o</m:t>
              </m:r>
              <m:r>
                <m:t>r</m:t>
              </m:r>
            </m:sub>
          </m:sSub>
          <m:r>
            <m:t>  </m:t>
          </m:r>
          <m:d>
            <m:dPr>
              <m:begChr m:val="("/>
              <m:endChr m:val=")"/>
              <m:sepChr m:val=""/>
              <m:grow/>
            </m:dPr>
            <m:e>
              <m:r>
                <m:t>4.14</m:t>
              </m:r>
            </m:e>
          </m:d>
        </m:oMath>
      </m:oMathPara>
      <w:bookmarkEnd w:id="221"/>
    </w:p>
    <w:p>
      <w:pPr>
        <w:pStyle w:val="FirstParagraph"/>
      </w:pPr>
      <w:bookmarkStart w:id="222"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r>
                    <m:t>V</m:t>
                  </m:r>
                  <m:r>
                    <m:t>v</m:t>
                  </m:r>
                  <m:r>
                    <m:t>o</m:t>
                  </m:r>
                  <m:r>
                    <m:t>r</m:t>
                  </m:r>
                </m:sub>
              </m:sSub>
            </m:num>
            <m:den>
              <m:r>
                <m:t>111</m:t>
              </m:r>
            </m:den>
          </m:f>
          <m:r>
            <m:t>  </m:t>
          </m:r>
          <m:d>
            <m:dPr>
              <m:begChr m:val="("/>
              <m:endChr m:val=")"/>
              <m:sepChr m:val=""/>
              <m:grow/>
            </m:dPr>
            <m:e>
              <m:r>
                <m:t>4.15</m:t>
              </m:r>
            </m:e>
          </m:d>
        </m:oMath>
      </m:oMathPara>
      <w:bookmarkEnd w:id="222"/>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2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23"/>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24"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24"/>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25"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25"/>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26"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26"/>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27"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27"/>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C:\Users\leo\AppData\Local\Programs\Quarto\share\formats\docx\note.png" id="2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30"/>
    <w:bookmarkStart w:id="243"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Überprüfung wird eine</w:t>
      </w:r>
      <w:r>
        <w:t xml:space="preserve"> </w:t>
      </w:r>
      <w:r>
        <w:t xml:space="preserve">“</w:t>
      </w:r>
      <w:r>
        <w:t xml:space="preserve">OP</w:t>
      </w:r>
      <w:r>
        <w:t xml:space="preserve">”</w:t>
      </w:r>
      <w:r>
        <w:t xml:space="preserve"> </w:t>
      </w:r>
      <w:r>
        <w:t xml:space="preserve">(Operating Point) 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1"/>
          <w:p>
            <w:pPr>
              <w:pStyle w:val="Compact"/>
              <w:jc w:val="center"/>
            </w:pPr>
            <w:r>
              <w:drawing>
                <wp:inline>
                  <wp:extent cx="5334000" cy="3178208"/>
                  <wp:effectExtent b="0" l="0" r="0" t="0"/>
                  <wp:docPr descr="" title="" id="232" name="Picture"/>
                  <a:graphic>
                    <a:graphicData uri="http://schemas.openxmlformats.org/drawingml/2006/picture">
                      <pic:pic>
                        <pic:nvPicPr>
                          <pic:cNvPr descr="Projekte/Grafiken/04.01_LV_RealeSpannungsquelleSim1.png" id="233" name="Picture"/>
                          <pic:cNvPicPr>
                            <a:picLocks noChangeArrowheads="1" noChangeAspect="1"/>
                          </pic:cNvPicPr>
                        </pic:nvPicPr>
                        <pic:blipFill>
                          <a:blip r:embed="rId231"/>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34"/>
        </w:tc>
      </w:tr>
    </w:tbl>
    <w:p>
      <w:pPr>
        <w:pStyle w:val="BodyText"/>
      </w:pPr>
      <w:r>
        <w:t xml:space="preserve">Werden die oben berechneten Werte mittels Simulation überprüft,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p>
    <w:p>
      <w:pPr>
        <w:pStyle w:val="BodyText"/>
      </w:pP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8" w:name="fig-BJT_LV_RealeSpannungsquelleSim2"/>
          <w:p>
            <w:pPr>
              <w:pStyle w:val="Compact"/>
              <w:jc w:val="center"/>
            </w:pPr>
            <w:r>
              <w:drawing>
                <wp:inline>
                  <wp:extent cx="5334000" cy="3759286"/>
                  <wp:effectExtent b="0" l="0" r="0" t="0"/>
                  <wp:docPr descr="" title="" id="236" name="Picture"/>
                  <a:graphic>
                    <a:graphicData uri="http://schemas.openxmlformats.org/drawingml/2006/picture">
                      <pic:pic>
                        <pic:nvPicPr>
                          <pic:cNvPr descr="Projekte/Grafiken/04.01_LV_RealeSpannungsquelleSim2.png" id="237" name="Picture"/>
                          <pic:cNvPicPr>
                            <a:picLocks noChangeArrowheads="1" noChangeAspect="1"/>
                          </pic:cNvPicPr>
                        </pic:nvPicPr>
                        <pic:blipFill>
                          <a:blip r:embed="rId235"/>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8"/>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Sweep Bereich</w:t>
            </w:r>
          </w:p>
        </w:tc>
        <w:tc>
          <w:tcPr/>
          <w:p>
            <w:pPr>
              <w:pStyle w:val="Compact"/>
              <w:jc w:val="center"/>
            </w:pPr>
            <m:oMath>
              <m:r>
                <m:t>1</m:t>
              </m:r>
              <m:r>
                <m:t> </m:t>
              </m:r>
              <m:r>
                <m:t>Ω</m:t>
              </m:r>
            </m:oMath>
            <w:r>
              <w:t xml:space="preserve"> </w:t>
            </w:r>
            <w:r>
              <w:t xml:space="preserve">bis</w:t>
            </w:r>
            <w:r>
              <w:t xml:space="preserve"> </w:t>
            </w:r>
            <m:oMath>
              <m:r>
                <m:t>20</m:t>
              </m:r>
              <m:r>
                <m:t> </m:t>
              </m:r>
              <m:r>
                <m:rPr>
                  <m:sty m:val="p"/>
                </m:rPr>
                <m:t>k</m:t>
              </m:r>
              <m:r>
                <m:rPr>
                  <m:sty m:val="p"/>
                </m:rPr>
                <m:t>Ω</m:t>
              </m:r>
            </m:oMath>
            <w:r>
              <w:t xml:space="preserve"> </w:t>
            </w:r>
            <w:r>
              <w:t xml:space="preserve">in</w:t>
            </w:r>
            <w:r>
              <w:t xml:space="preserve"> </w:t>
            </w:r>
            <m:oMath>
              <m:r>
                <m:t>100</m:t>
              </m:r>
              <m:r>
                <m:t> </m:t>
              </m:r>
              <m:r>
                <m:t>Ω</m:t>
              </m:r>
            </m:oMath>
            <w:r>
              <w:t xml:space="preserve"> </w:t>
            </w:r>
            <w:r>
              <w:t xml:space="preserve">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42" w:name="fig-BJT_LV_RealeSpannungsquelleSim3"/>
          <w:p>
            <w:pPr>
              <w:pStyle w:val="Compact"/>
              <w:jc w:val="center"/>
            </w:pPr>
            <w:r>
              <w:drawing>
                <wp:inline>
                  <wp:extent cx="5334000" cy="3069197"/>
                  <wp:effectExtent b="0" l="0" r="0" t="0"/>
                  <wp:docPr descr="" title="" id="240" name="Picture"/>
                  <a:graphic>
                    <a:graphicData uri="http://schemas.openxmlformats.org/drawingml/2006/picture">
                      <pic:pic>
                        <pic:nvPicPr>
                          <pic:cNvPr descr="Projekte/Grafiken/04.01_LV_RealeSpannungsquelleSim3.png" id="241" name="Picture"/>
                          <pic:cNvPicPr>
                            <a:picLocks noChangeArrowheads="1" noChangeAspect="1"/>
                          </pic:cNvPicPr>
                        </pic:nvPicPr>
                        <pic:blipFill>
                          <a:blip r:embed="rId239"/>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42"/>
        </w:tc>
      </w:tr>
    </w:tbl>
    <w:bookmarkEnd w:id="243"/>
    <w:bookmarkStart w:id="244"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Außerdem ist zu beachten, dass für einen realen Aufbau Widerstandswerte aus den E-Reihen zu wählen sind!</w:t>
      </w:r>
    </w:p>
    <w:bookmarkEnd w:id="244"/>
    <w:bookmarkStart w:id="255"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8" w:name="fig-BJT_GegenRueckVorReal3"/>
          <w:p>
            <w:pPr>
              <w:pStyle w:val="Compact"/>
              <w:jc w:val="center"/>
            </w:pPr>
            <w:r>
              <w:drawing>
                <wp:inline>
                  <wp:extent cx="5334000" cy="3340971"/>
                  <wp:effectExtent b="0" l="0" r="0" t="0"/>
                  <wp:docPr descr="" title="" id="246" name="Picture"/>
                  <a:graphic>
                    <a:graphicData uri="http://schemas.openxmlformats.org/drawingml/2006/picture">
                      <pic:pic>
                        <pic:nvPicPr>
                          <pic:cNvPr descr="Projekte/Grafiken/04_LV_Reale_VorspannungDCSim1.png" id="247" name="Picture"/>
                          <pic:cNvPicPr>
                            <a:picLocks noChangeArrowheads="1" noChangeAspect="1"/>
                          </pic:cNvPicPr>
                        </pic:nvPicPr>
                        <pic:blipFill>
                          <a:blip r:embed="rId245"/>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8"/>
        </w:tc>
      </w:tr>
    </w:tbl>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4"/>
          <w:p>
            <w:pPr>
              <w:pStyle w:val="Compact"/>
              <w:jc w:val="center"/>
            </w:pPr>
            <w:r>
              <w:drawing>
                <wp:inline>
                  <wp:extent cx="5334000" cy="7620000"/>
                  <wp:effectExtent b="0" l="0" r="0" t="0"/>
                  <wp:docPr descr="" title="" id="250" name="Picture"/>
                  <a:graphic>
                    <a:graphicData uri="http://schemas.openxmlformats.org/drawingml/2006/picture">
                      <pic:pic>
                        <pic:nvPicPr>
                          <pic:cNvPr descr="Projekte/Grafiken/04_Transient%20Analysis.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5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C:\Users\leo\AppData\Local\Programs\Quarto\share\formats\docx\note.png" id="2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55"/>
    <w:bookmarkEnd w:id="256"/>
    <w:bookmarkStart w:id="265"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reicht der Ausgangsstrom des OPV’s nicht aus um die reale Vorspannungsquelle zu versorgen. Daher müssen zusätzliche Stromquellen eingebaut werden. Da der Verstärker symetrisch aussteuert, müssen zwei Stromquellen eingebaut werden. Eine für die negative und eine für die positive Versorgung.</w:t>
      </w:r>
    </w:p>
    <w:tbl>
      <w:tblPr>
        <w:tblStyle w:val="Table"/>
        <w:tblW w:type="pct" w:w="5000"/>
        <w:tblLook w:firstRow="0" w:lastRow="0" w:firstColumn="0" w:lastColumn="0" w:noHBand="0" w:noVBand="0" w:val="0000"/>
        <w:jc w:val="start"/>
        <w:tblLayout w:type="fixed"/>
      </w:tblPr>
      <w:tblGrid>
        <w:gridCol w:w="7920"/>
      </w:tblGrid>
      <w:tr>
        <w:tc>
          <w:tcPr/>
          <w:bookmarkStart w:id="260" w:name="fig-BJT_GegenRueckVorRealStromDCSim1"/>
          <w:p>
            <w:pPr>
              <w:pStyle w:val="Compact"/>
              <w:jc w:val="center"/>
            </w:pPr>
            <w:r>
              <w:drawing>
                <wp:inline>
                  <wp:extent cx="5334000" cy="3422424"/>
                  <wp:effectExtent b="0" l="0" r="0" t="0"/>
                  <wp:docPr descr="" title="" id="258" name="Picture"/>
                  <a:graphic>
                    <a:graphicData uri="http://schemas.openxmlformats.org/drawingml/2006/picture">
                      <pic:pic>
                        <pic:nvPicPr>
                          <pic:cNvPr descr="Projekte/Grafiken/05_LV_StromquellenDCSim1.png" id="259" name="Picture"/>
                          <pic:cNvPicPr>
                            <a:picLocks noChangeArrowheads="1" noChangeAspect="1"/>
                          </pic:cNvPicPr>
                        </pic:nvPicPr>
                        <pic:blipFill>
                          <a:blip r:embed="rId257"/>
                          <a:stretch>
                            <a:fillRect/>
                          </a:stretch>
                        </pic:blipFill>
                        <pic:spPr bwMode="auto">
                          <a:xfrm>
                            <a:off x="0" y="0"/>
                            <a:ext cx="5334000" cy="342242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60"/>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4" w:name="fig-BJT_GegenRueckVorRealStromTRANSim1"/>
          <w:p>
            <w:pPr>
              <w:pStyle w:val="Compact"/>
              <w:jc w:val="center"/>
            </w:pPr>
            <w:r>
              <w:drawing>
                <wp:inline>
                  <wp:extent cx="5334000" cy="7620000"/>
                  <wp:effectExtent b="0" l="0" r="0" t="0"/>
                  <wp:docPr descr="" title="" id="262" name="Picture"/>
                  <a:graphic>
                    <a:graphicData uri="http://schemas.openxmlformats.org/drawingml/2006/picture">
                      <pic:pic>
                        <pic:nvPicPr>
                          <pic:cNvPr descr="Projekte/Grafiken/05_Transient%20Analysis.svg" id="2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6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65"/>
    <w:bookmarkStart w:id="282"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9" w:name="fig-BJT_GegenRueckVorRealStromOPSim1"/>
          <w:p>
            <w:pPr>
              <w:pStyle w:val="Compact"/>
              <w:jc w:val="center"/>
            </w:pPr>
            <w:r>
              <w:drawing>
                <wp:inline>
                  <wp:extent cx="5334000" cy="2446372"/>
                  <wp:effectExtent b="0" l="0" r="0" t="0"/>
                  <wp:docPr descr="" title="" id="267" name="Picture"/>
                  <a:graphic>
                    <a:graphicData uri="http://schemas.openxmlformats.org/drawingml/2006/picture">
                      <pic:pic>
                        <pic:nvPicPr>
                          <pic:cNvPr descr="Projekte/Grafiken/05.01_RealeStromquellenOPSim1.png" id="268" name="Picture"/>
                          <pic:cNvPicPr>
                            <a:picLocks noChangeArrowheads="1" noChangeAspect="1"/>
                          </pic:cNvPicPr>
                        </pic:nvPicPr>
                        <pic:blipFill>
                          <a:blip r:embed="rId266"/>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9"/>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und konstant sein.</w:t>
      </w:r>
    </w:p>
    <w:tbl>
      <w:tblPr>
        <w:tblStyle w:val="Table"/>
        <w:tblW w:type="pct" w:w="5000"/>
        <w:tblLook w:firstRow="0" w:lastRow="0" w:firstColumn="0" w:lastColumn="0" w:noHBand="0" w:noVBand="0" w:val="0000"/>
        <w:jc w:val="start"/>
        <w:tblLayout w:type="fixed"/>
      </w:tblPr>
      <w:tblGrid>
        <w:gridCol w:w="7920"/>
      </w:tblGrid>
      <w:tr>
        <w:tc>
          <w:tcPr/>
          <w:bookmarkStart w:id="273" w:name="X719cdff3826e19c00e00b5b4a6fd8381ad90f32"/>
          <w:p>
            <w:pPr>
              <w:pStyle w:val="Compact"/>
              <w:jc w:val="center"/>
            </w:pPr>
            <w:r>
              <w:drawing>
                <wp:inline>
                  <wp:extent cx="5334000" cy="3240949"/>
                  <wp:effectExtent b="0" l="0" r="0" t="0"/>
                  <wp:docPr descr="" title="" id="271" name="Picture"/>
                  <a:graphic>
                    <a:graphicData uri="http://schemas.openxmlformats.org/drawingml/2006/picture">
                      <pic:pic>
                        <pic:nvPicPr>
                          <pic:cNvPr descr="Projekte/Grafiken/05.01_RealeStromquelleDCSim1.png" id="272" name="Picture"/>
                          <pic:cNvPicPr>
                            <a:picLocks noChangeArrowheads="1" noChangeAspect="1"/>
                          </pic:cNvPicPr>
                        </pic:nvPicPr>
                        <pic:blipFill>
                          <a:blip r:embed="rId270"/>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73"/>
        </w:tc>
      </w:tr>
    </w:tbl>
    <w:p>
      <w:pPr>
        <w:pStyle w:val="BodyText"/>
      </w:pPr>
      <w:r>
        <w:t xml:space="preserve">Nachdem die ausreichende Stabilität gezeigt wurde, können die Stromquellen eingebaut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77" w:name="fig-BJT_06_LV_Real"/>
          <w:p>
            <w:pPr>
              <w:pStyle w:val="Compact"/>
              <w:jc w:val="center"/>
            </w:pPr>
            <w:r>
              <w:drawing>
                <wp:inline>
                  <wp:extent cx="5334000" cy="4903767"/>
                  <wp:effectExtent b="0" l="0" r="0" t="0"/>
                  <wp:docPr descr="" title="" id="275" name="Picture"/>
                  <a:graphic>
                    <a:graphicData uri="http://schemas.openxmlformats.org/drawingml/2006/picture">
                      <pic:pic>
                        <pic:nvPicPr>
                          <pic:cNvPr descr="Projekte/Grafiken/06_LV_Real.png" id="276" name="Picture"/>
                          <pic:cNvPicPr>
                            <a:picLocks noChangeArrowheads="1" noChangeAspect="1"/>
                          </pic:cNvPicPr>
                        </pic:nvPicPr>
                        <pic:blipFill>
                          <a:blip r:embed="rId274"/>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77"/>
        </w:tc>
      </w:tr>
    </w:tbl>
    <w:p/>
    <w:tbl>
      <w:tblPr>
        <w:tblStyle w:val="Table"/>
        <w:tblW w:type="pct" w:w="5000"/>
        <w:tblLook w:firstRow="0" w:lastRow="0" w:firstColumn="0" w:lastColumn="0" w:noHBand="0" w:noVBand="0" w:val="0000"/>
        <w:jc w:val="start"/>
        <w:tblLayout w:type="fixed"/>
      </w:tblPr>
      <w:tblGrid>
        <w:gridCol w:w="7920"/>
      </w:tblGrid>
      <w:tr>
        <w:tc>
          <w:tcPr/>
          <w:bookmarkStart w:id="281" w:name="fig-BJT_06_LV_Real_TRANSim1"/>
          <w:p>
            <w:pPr>
              <w:pStyle w:val="Compact"/>
              <w:jc w:val="center"/>
            </w:pPr>
            <w:r>
              <w:drawing>
                <wp:inline>
                  <wp:extent cx="5334000" cy="7620000"/>
                  <wp:effectExtent b="0" l="0" r="0" t="0"/>
                  <wp:docPr descr="" title="" id="279" name="Picture"/>
                  <a:graphic>
                    <a:graphicData uri="http://schemas.openxmlformats.org/drawingml/2006/picture">
                      <pic:pic>
                        <pic:nvPicPr>
                          <pic:cNvPr descr="Projekte/Grafiken/06_Transient%20Analysis.svg" id="2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8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Die Schaltung gilt damit als fertig dimensioniert. Natürlich kann die Schaltung erweitert, adaptiert und verbessert werden. Siehe dazu</w:t>
      </w:r>
      <w:r>
        <w:t xml:space="preserve"> </w:t>
      </w:r>
      <w:hyperlink w:anchor="sec-AbwErw">
        <w:r>
          <w:rPr>
            <w:rStyle w:val="Hyperlink"/>
          </w:rPr>
          <w:t xml:space="preserve">Kapitel 4.9</w:t>
        </w:r>
      </w:hyperlink>
      <w:r>
        <w:t xml:space="preserve">.</w:t>
      </w:r>
    </w:p>
    <w:bookmarkEnd w:id="282"/>
    <w:bookmarkStart w:id="289" w:name="strombegrenzung"/>
    <w:p>
      <w:pPr>
        <w:pStyle w:val="Heading2"/>
      </w:pPr>
      <w:r>
        <w:t xml:space="preserve">4.7 Strombegrenzung</w:t>
      </w:r>
    </w:p>
    <w:p>
      <w:pPr>
        <w:pStyle w:val="FirstParagraph"/>
      </w:pPr>
      <w:r>
        <w:t xml:space="preserve">Um die Schaltung im Kurzschlussfall zu schützen, kann eine Strombegrenzung eingebaut werden</w:t>
      </w:r>
      <w:r>
        <w:t xml:space="preserve"> </w:t>
      </w:r>
      <w:r>
        <w:t xml:space="preserve">[2]</w:t>
      </w:r>
      <w:r>
        <w:t xml:space="preserve">, Abb. 18.30 c . Die Strombegrenzung besteht aus einem Widerstand und einem weiteren Transistor</w:t>
      </w:r>
      <w:r>
        <w:t xml:space="preserve"> </w:t>
      </w:r>
      <w:hyperlink w:anchor="fig-BJT_07_LV_StromBeg">
        <w:r>
          <w:rPr>
            <w:rStyle w:val="Hyperlink"/>
          </w:rPr>
          <w:t xml:space="preserve">Abbildung 4.21</w:t>
        </w:r>
      </w:hyperlink>
      <w:r>
        <w:t xml:space="preserve">.</w:t>
      </w:r>
      <w:r>
        <w:br/>
      </w: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so dimensioniert, dass beim erreichen des maximal erlaubten Stroms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die Spannung zwischen Basis und Emitter 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so groß ist, dass diese zu leiten beginnen. Damit wird die Basis-Emitter Strecke der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kurzgeschlossen und der Stromfluss unterbrochen.</w:t>
      </w:r>
    </w:p>
    <w:tbl>
      <w:tblPr>
        <w:tblStyle w:val="Table"/>
        <w:tblW w:type="pct" w:w="5000"/>
        <w:tblLook w:firstRow="0" w:lastRow="0" w:firstColumn="0" w:lastColumn="0" w:noHBand="0" w:noVBand="0" w:val="0000"/>
        <w:jc w:val="start"/>
        <w:tblLayout w:type="fixed"/>
      </w:tblPr>
      <w:tblGrid>
        <w:gridCol w:w="7920"/>
      </w:tblGrid>
      <w:tr>
        <w:tc>
          <w:tcPr/>
          <w:bookmarkStart w:id="286" w:name="fig-BJT_07_LV_StromBeg"/>
          <w:p>
            <w:pPr>
              <w:pStyle w:val="Compact"/>
              <w:jc w:val="center"/>
            </w:pPr>
            <w:r>
              <w:drawing>
                <wp:inline>
                  <wp:extent cx="5334000" cy="4209857"/>
                  <wp:effectExtent b="0" l="0" r="0" t="0"/>
                  <wp:docPr descr="" title="" id="284" name="Picture"/>
                  <a:graphic>
                    <a:graphicData uri="http://schemas.openxmlformats.org/drawingml/2006/picture">
                      <pic:pic>
                        <pic:nvPicPr>
                          <pic:cNvPr descr="Projekte/Grafiken/07_LV_StromBeg.png" id="285" name="Picture"/>
                          <pic:cNvPicPr>
                            <a:picLocks noChangeArrowheads="1" noChangeAspect="1"/>
                          </pic:cNvPicPr>
                        </pic:nvPicPr>
                        <pic:blipFill>
                          <a:blip r:embed="rId283"/>
                          <a:stretch>
                            <a:fillRect/>
                          </a:stretch>
                        </pic:blipFill>
                        <pic:spPr bwMode="auto">
                          <a:xfrm>
                            <a:off x="0" y="0"/>
                            <a:ext cx="5334000" cy="420985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4.21: Gegentaktendstufe mit Strombegrenzung</w:t>
            </w:r>
          </w:p>
          <w:bookmarkEnd w:id="286"/>
        </w:tc>
      </w:tr>
    </w:tbl>
    <w:p>
      <w:pPr>
        <w:pStyle w:val="BodyText"/>
      </w:pPr>
      <w:r>
        <w:t xml:space="preserve">Die Berechnung der Widerstände kann vereinfacht durch die Annahme erfolgen, dass die Spannung</w:t>
      </w:r>
      <w:r>
        <w:t xml:space="preserve"> </w:t>
      </w:r>
      <m:oMath>
        <m:sSub>
          <m:e>
            <m:r>
              <m:t>U</m:t>
            </m:r>
          </m:e>
          <m:sub>
            <m:r>
              <m:t>B</m:t>
            </m:r>
            <m:r>
              <m:t>E</m:t>
            </m:r>
          </m:sub>
        </m:sSub>
      </m:oMath>
      <w:r>
        <w:t xml:space="preserve"> </w:t>
      </w:r>
      <w:r>
        <w:t xml:space="preserve">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größer</w:t>
      </w:r>
      <w:r>
        <w:t xml:space="preserve"> </w:t>
      </w:r>
      <m:oMath>
        <m:r>
          <m:t>0</m:t>
        </m:r>
        <m:r>
          <m:rPr>
            <m:sty m:val="p"/>
          </m:rPr>
          <m:t>,</m:t>
        </m:r>
        <m:r>
          <m:t>7</m:t>
        </m:r>
        <m:r>
          <m:t> </m:t>
        </m:r>
        <m:r>
          <m:rPr>
            <m:sty m:val="p"/>
          </m:rPr>
          <m:t>V</m:t>
        </m:r>
      </m:oMath>
      <w:r>
        <w:t xml:space="preserve"> </w:t>
      </w:r>
      <w:r>
        <w:t xml:space="preserve">sein muss um zu leiten.</w:t>
      </w:r>
    </w:p>
    <w:p>
      <w:pPr>
        <w:pStyle w:val="BodyText"/>
      </w:pPr>
      <m:oMathPara>
        <m:oMathParaPr>
          <m:jc m:val="center"/>
        </m:oMathParaPr>
        <m:oMath>
          <m:sSub>
            <m:e>
              <m:r>
                <m:t>U</m:t>
              </m:r>
            </m:e>
            <m:sub>
              <m:r>
                <m:t>B</m:t>
              </m:r>
              <m:r>
                <m:t>E</m:t>
              </m:r>
              <m:r>
                <m:rPr>
                  <m:sty m:val="p"/>
                </m:rPr>
                <m:t>,</m:t>
              </m:r>
              <m:r>
                <m:t>T</m:t>
              </m:r>
              <m:r>
                <m:t>s</m:t>
              </m:r>
              <m:r>
                <m:t>b</m:t>
              </m:r>
            </m:sub>
          </m:sSub>
          <m:r>
            <m:rPr>
              <m:sty m:val="p"/>
            </m:rPr>
            <m:t>=</m:t>
          </m:r>
          <m:r>
            <m:rPr>
              <m:nor/>
              <m:sty m:val="p"/>
            </m:rPr>
            <m:t>700</m:t>
          </m:r>
          <m:r>
            <m:t> </m:t>
          </m:r>
          <m:r>
            <m:rPr>
              <m:nor/>
              <m:sty m:val="p"/>
            </m:rPr>
            <m:t>mV</m:t>
          </m:r>
        </m:oMath>
      </m:oMathPara>
    </w:p>
    <w:p>
      <w:pPr>
        <w:pStyle w:val="FirstParagraph"/>
      </w:pPr>
      <m:oMathPara>
        <m:oMathParaPr>
          <m:jc m:val="center"/>
        </m:oMathParaPr>
        <m:oMath>
          <m:sSub>
            <m:e>
              <m:r>
                <m:t>I</m:t>
              </m:r>
            </m:e>
            <m:sub>
              <m:r>
                <m:t>T</m:t>
              </m:r>
              <m:r>
                <m:t>1</m:t>
              </m:r>
              <m:r>
                <m:rPr>
                  <m:sty m:val="p"/>
                </m:rPr>
                <m:t>,</m:t>
              </m:r>
              <m:r>
                <m:t>m</m:t>
              </m:r>
              <m:r>
                <m:t>a</m:t>
              </m:r>
              <m:r>
                <m:t>x</m:t>
              </m:r>
            </m:sub>
          </m:sSub>
          <m:r>
            <m:rPr>
              <m:sty m:val="p"/>
            </m:rPr>
            <m:t>=</m:t>
          </m:r>
          <m:r>
            <m:rPr>
              <m:nor/>
              <m:sty m:val="p"/>
            </m:rPr>
            <m:t>800</m:t>
          </m:r>
          <m:r>
            <m:t> </m:t>
          </m:r>
          <m:r>
            <m:rPr>
              <m:nor/>
              <m:sty m:val="p"/>
            </m:rPr>
            <m:t>mA</m:t>
          </m:r>
        </m:oMath>
      </m:oMathPara>
    </w:p>
    <w:p>
      <w:pPr>
        <w:pStyle w:val="FirstParagraph"/>
      </w:pPr>
      <m:oMathPara>
        <m:oMathParaPr>
          <m:jc m:val="center"/>
        </m:oMathParaPr>
        <m:oMath>
          <m:sSub>
            <m:e>
              <m:r>
                <m:t>I</m:t>
              </m:r>
            </m:e>
            <m:sub>
              <m:r>
                <m:t>T</m:t>
              </m:r>
              <m:r>
                <m:t>2</m:t>
              </m:r>
              <m:r>
                <m:rPr>
                  <m:sty m:val="p"/>
                </m:rPr>
                <m:t>,</m:t>
              </m:r>
              <m:r>
                <m:t>m</m:t>
              </m:r>
              <m:r>
                <m:t>a</m:t>
              </m:r>
              <m:r>
                <m:t>x</m:t>
              </m:r>
            </m:sub>
          </m:sSub>
          <m:r>
            <m:rPr>
              <m:sty m:val="p"/>
            </m:rPr>
            <m:t>=</m:t>
          </m:r>
          <m:r>
            <m:rPr>
              <m:nor/>
              <m:sty m:val="p"/>
            </m:rPr>
            <m:t>600</m:t>
          </m:r>
          <m:r>
            <m:t> </m:t>
          </m:r>
          <m:r>
            <m:rPr>
              <m:nor/>
              <m:sty m:val="p"/>
            </m:rPr>
            <m:t>mA</m:t>
          </m:r>
        </m:oMath>
      </m:oMathPara>
    </w:p>
    <w:p>
      <w:pPr>
        <w:pStyle w:val="FirstParagraph"/>
      </w:pPr>
      <w:bookmarkStart w:id="287" w:name="eq-Rsb1_eq"/>
      <m:oMathPara>
        <m:oMathParaPr>
          <m:jc m:val="center"/>
        </m:oMathParaPr>
        <m:oMath>
          <m:sSub>
            <m:e>
              <m:r>
                <m:t>R</m:t>
              </m:r>
            </m:e>
            <m:sub>
              <m:r>
                <m:t>s</m:t>
              </m:r>
              <m:r>
                <m:t>b</m:t>
              </m:r>
              <m:r>
                <m:t>1</m:t>
              </m:r>
            </m:sub>
          </m:sSub>
          <m:r>
            <m:rPr>
              <m:sty m:val="p"/>
            </m:rPr>
            <m:t>=</m:t>
          </m:r>
          <m:f>
            <m:fPr>
              <m:type m:val="bar"/>
            </m:fPr>
            <m:num>
              <m:sSub>
                <m:e>
                  <m:r>
                    <m:t>U</m:t>
                  </m:r>
                </m:e>
                <m:sub>
                  <m:r>
                    <m:t>B</m:t>
                  </m:r>
                  <m:r>
                    <m:t>E</m:t>
                  </m:r>
                  <m:r>
                    <m:rPr>
                      <m:sty m:val="p"/>
                    </m:rPr>
                    <m:t>,</m:t>
                  </m:r>
                  <m:r>
                    <m:t>T</m:t>
                  </m:r>
                  <m:r>
                    <m:t>s</m:t>
                  </m:r>
                  <m:r>
                    <m:t>b</m:t>
                  </m:r>
                </m:sub>
              </m:sSub>
            </m:num>
            <m:den>
              <m:sSub>
                <m:e>
                  <m:r>
                    <m:t>I</m:t>
                  </m:r>
                </m:e>
                <m:sub>
                  <m:r>
                    <m:t>T</m:t>
                  </m:r>
                  <m:r>
                    <m:t>1</m:t>
                  </m:r>
                  <m:r>
                    <m:rPr>
                      <m:sty m:val="p"/>
                    </m:rPr>
                    <m:t>,</m:t>
                  </m:r>
                  <m:r>
                    <m:t>m</m:t>
                  </m:r>
                  <m:r>
                    <m:t>a</m:t>
                  </m:r>
                  <m:r>
                    <m:t>x</m:t>
                  </m:r>
                </m:sub>
              </m:sSub>
            </m:den>
          </m:f>
          <m:r>
            <m:t>  </m:t>
          </m:r>
          <m:d>
            <m:dPr>
              <m:begChr m:val="("/>
              <m:endChr m:val=")"/>
              <m:sepChr m:val=""/>
              <m:grow/>
            </m:dPr>
            <m:e>
              <m:r>
                <m:t>4.21</m:t>
              </m:r>
            </m:e>
          </m:d>
        </m:oMath>
      </m:oMathPara>
      <w:bookmarkEnd w:id="287"/>
    </w:p>
    <w:p>
      <w:pPr>
        <w:pStyle w:val="FirstParagraph"/>
      </w:pPr>
      <m:oMathPara>
        <m:oMathParaPr>
          <m:jc m:val="center"/>
        </m:oMathParaPr>
        <m:oMath>
          <m:sSub>
            <m:e>
              <m:r>
                <m:t>R</m:t>
              </m:r>
            </m:e>
            <m:sub>
              <m:r>
                <m:t>s</m:t>
              </m:r>
              <m:r>
                <m:t>b</m:t>
              </m:r>
              <m:r>
                <m:t>1</m:t>
              </m:r>
            </m:sub>
          </m:sSub>
          <m:r>
            <m:rPr>
              <m:sty m:val="p"/>
            </m:rPr>
            <m:t>=</m:t>
          </m:r>
          <m:r>
            <m:rPr>
              <m:nor/>
              <m:sty m:val="p"/>
            </m:rPr>
            <m:t>875</m:t>
          </m:r>
          <m:r>
            <m:t> </m:t>
          </m:r>
          <m:r>
            <m:rPr>
              <m:sty m:val="p"/>
            </m:rPr>
            <m:t>m</m:t>
          </m:r>
          <m:r>
            <m:rPr>
              <m:sty m:val="p"/>
            </m:rPr>
            <m:t>Ω</m:t>
          </m:r>
        </m:oMath>
      </m:oMathPara>
    </w:p>
    <w:p>
      <w:pPr>
        <w:pStyle w:val="FirstParagraph"/>
      </w:pPr>
      <w:bookmarkStart w:id="288" w:name="eq-Rsb2_eq"/>
      <m:oMathPara>
        <m:oMathParaPr>
          <m:jc m:val="center"/>
        </m:oMathParaPr>
        <m:oMath>
          <m:sSub>
            <m:e>
              <m:r>
                <m:t>R</m:t>
              </m:r>
            </m:e>
            <m:sub>
              <m:r>
                <m:t>s</m:t>
              </m:r>
              <m:r>
                <m:t>b</m:t>
              </m:r>
              <m:r>
                <m:t>2</m:t>
              </m:r>
            </m:sub>
          </m:sSub>
          <m:r>
            <m:rPr>
              <m:sty m:val="p"/>
            </m:rPr>
            <m:t>=</m:t>
          </m:r>
          <m:f>
            <m:fPr>
              <m:type m:val="bar"/>
            </m:fPr>
            <m:num>
              <m:sSub>
                <m:e>
                  <m:r>
                    <m:t>U</m:t>
                  </m:r>
                </m:e>
                <m:sub>
                  <m:r>
                    <m:t>B</m:t>
                  </m:r>
                  <m:r>
                    <m:t>E</m:t>
                  </m:r>
                  <m:r>
                    <m:rPr>
                      <m:sty m:val="p"/>
                    </m:rPr>
                    <m:t>,</m:t>
                  </m:r>
                  <m:r>
                    <m:t>T</m:t>
                  </m:r>
                  <m:r>
                    <m:t>s</m:t>
                  </m:r>
                  <m:r>
                    <m:t>b</m:t>
                  </m:r>
                </m:sub>
              </m:sSub>
            </m:num>
            <m:den>
              <m:sSub>
                <m:e>
                  <m:r>
                    <m:t>I</m:t>
                  </m:r>
                </m:e>
                <m:sub>
                  <m:r>
                    <m:t>T</m:t>
                  </m:r>
                  <m:r>
                    <m:t>2</m:t>
                  </m:r>
                  <m:r>
                    <m:rPr>
                      <m:sty m:val="p"/>
                    </m:rPr>
                    <m:t>,</m:t>
                  </m:r>
                  <m:r>
                    <m:t>m</m:t>
                  </m:r>
                  <m:r>
                    <m:t>a</m:t>
                  </m:r>
                  <m:r>
                    <m:t>x</m:t>
                  </m:r>
                </m:sub>
              </m:sSub>
            </m:den>
          </m:f>
          <m:r>
            <m:t>  </m:t>
          </m:r>
          <m:d>
            <m:dPr>
              <m:begChr m:val="("/>
              <m:endChr m:val=")"/>
              <m:sepChr m:val=""/>
              <m:grow/>
            </m:dPr>
            <m:e>
              <m:r>
                <m:t>4.22</m:t>
              </m:r>
            </m:e>
          </m:d>
        </m:oMath>
      </m:oMathPara>
      <w:bookmarkEnd w:id="288"/>
    </w:p>
    <w:p>
      <w:pPr>
        <w:pStyle w:val="FirstParagraph"/>
      </w:pPr>
      <m:oMathPara>
        <m:oMathParaPr>
          <m:jc m:val="center"/>
        </m:oMathParaPr>
        <m:oMath>
          <m:sSub>
            <m:e>
              <m:r>
                <m:t>R</m:t>
              </m:r>
            </m:e>
            <m:sub>
              <m:r>
                <m:t>s</m:t>
              </m:r>
              <m:r>
                <m:t>b</m:t>
              </m:r>
              <m:r>
                <m:t>2</m:t>
              </m:r>
            </m:sub>
          </m:sSub>
          <m:r>
            <m:rPr>
              <m:sty m:val="p"/>
            </m:rPr>
            <m:t>=</m:t>
          </m:r>
          <m:r>
            <m:rPr>
              <m:nor/>
              <m:sty m:val="p"/>
            </m:rPr>
            <m:t>1.17</m:t>
          </m:r>
          <m:r>
            <m:t> </m:t>
          </m:r>
          <m:r>
            <m:rPr>
              <m:sty m:val="p"/>
            </m:rPr>
            <m:t>Ω</m:t>
          </m:r>
        </m:oMath>
      </m:oMathPara>
    </w:p>
    <w:p>
      <w:pPr>
        <w:pStyle w:val="FirstParagraph"/>
      </w:pP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zum nächsten Wert der E12 Reihe ausgewählt und die Schaltung mittels Simualtion überprüft.</w:t>
      </w:r>
    </w:p>
    <w:p>
      <w:pPr>
        <w:pStyle w:val="BodyText"/>
      </w:pPr>
      <w:r>
        <w:t xml:space="preserve">Es ist gut zu erkennen wie die Ströme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korrekt begrenzt werden. Nun gilt es, mittels Simulation, nachzuweisen, dass die Schaltung auch im Normalbetrieb noch funktioniert.</w:t>
      </w:r>
    </w:p>
    <w:p>
      <w:pPr>
        <w:pStyle w:val="BodyText"/>
      </w:pPr>
      <w:r>
        <w:t xml:space="preserve">Werden die Werte mit Strombegrenzung</w:t>
      </w:r>
      <w:r>
        <w:t xml:space="preserve"> </w:t>
      </w:r>
      <w:r>
        <w:rPr>
          <w:bCs/>
          <w:b/>
        </w:rPr>
        <w:t xml:space="preserve">?@fig-BJT_07_LV_StromGeb_Normal_TRANSim1</w:t>
      </w:r>
      <w:r>
        <w:t xml:space="preserve"> </w:t>
      </w:r>
      <w:r>
        <w:t xml:space="preserve">mit den Werten ohne Strombegrenzung</w:t>
      </w:r>
      <w:r>
        <w:t xml:space="preserve"> </w:t>
      </w:r>
      <w:hyperlink w:anchor="fig-BJT_06_LV_Real_TRANSim1">
        <w:r>
          <w:rPr>
            <w:rStyle w:val="Hyperlink"/>
          </w:rPr>
          <w:t xml:space="preserve">Abbildung 4.20</w:t>
        </w:r>
      </w:hyperlink>
      <w:r>
        <w:t xml:space="preserve"> </w:t>
      </w:r>
      <w:r>
        <w:t xml:space="preserve">verglichen, ist zu erkennen, dass die Schaltung eine leicht höhere Abweichung zwischen Eingangsspannung und Ausgangsspannung aufweist. Ob die Abweichung akzeptabel ist, muss im Einzelfall entschieden werden. Für unsere Zwecke stellen wir fest, dass die Schaltung nach wie vor das Signal in ausreichender Qualität verstärkt.</w:t>
      </w:r>
      <w:r>
        <w:br/>
      </w:r>
      <w:r>
        <w:t xml:space="preserve">Somit ist festzuhalten, dass die erweiterung um die Strombegrenzung lediglich in der Verlustleistung zu Buche schlägt, jedoch keine Auswirkungen auf die Qualität der Verstärkung hat.</w:t>
      </w:r>
    </w:p>
    <w:bookmarkEnd w:id="289"/>
    <w:bookmarkStart w:id="290" w:name="praktische-herangehensweise"/>
    <w:p>
      <w:pPr>
        <w:pStyle w:val="Heading2"/>
      </w:pPr>
      <w:r>
        <w:t xml:space="preserve">4.8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90"/>
    <w:bookmarkStart w:id="291" w:name="sec-AbwErw"/>
    <w:p>
      <w:pPr>
        <w:pStyle w:val="Heading2"/>
      </w:pPr>
      <w:r>
        <w:t xml:space="preserve">4.9 Abwandlungen und Erweiterungen</w:t>
      </w:r>
    </w:p>
    <w:p>
      <w:pPr>
        <w:pStyle w:val="FirstParagraph"/>
      </w:pPr>
      <w:r>
        <w:t xml:space="preserve">Wie könnte die Rückkopplung, welche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91"/>
    <w:bookmarkEnd w:id="292"/>
    <w:bookmarkStart w:id="355"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r>
        <w:br/>
      </w:r>
    </w:p>
    <w:p>
      <w:pPr>
        <w:numPr>
          <w:ilvl w:val="0"/>
          <w:numId w:val="1006"/>
        </w:numPr>
        <w:pStyle w:val="Compact"/>
      </w:pPr>
      <w:r>
        <w:t xml:space="preserve">Optional: Leerlauf</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Notes/Datenblätter der Hersteller lesen und verstehen</w:t>
      </w:r>
    </w:p>
    <w:p>
      <w:pPr>
        <w:pStyle w:val="FirstParagraph"/>
      </w:pPr>
      <w:r>
        <w:rPr>
          <w:bCs/>
          <w:b/>
        </w:rPr>
        <w:t xml:space="preserve">Hilfestellung</w:t>
      </w:r>
    </w:p>
    <w:p>
      <w:pPr>
        <w:pStyle w:val="BodyText"/>
      </w:pPr>
      <w:hyperlink r:id="rId293">
        <w:r>
          <w:rPr>
            <w:rStyle w:val="Hyperlink"/>
          </w:rPr>
          <w:t xml:space="preserve">Video: Hierarchisches Design</w:t>
        </w:r>
      </w:hyperlink>
      <w:r>
        <w:br/>
      </w:r>
      <w:hyperlink r:id="rId294">
        <w:r>
          <w:rPr>
            <w:rStyle w:val="Hyperlink"/>
          </w:rPr>
          <w:t xml:space="preserve">Altium Hilfe: Multi-sheet &amp; Hierarchical Designs in Altium Designer</w:t>
        </w:r>
      </w:hyperlink>
    </w:p>
    <w:bookmarkStart w:id="319"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8" w:name="fig-H-Bruecke"/>
          <w:p>
            <w:pPr>
              <w:pStyle w:val="Compact"/>
              <w:jc w:val="center"/>
            </w:pPr>
            <w:r>
              <w:drawing>
                <wp:inline>
                  <wp:extent cx="5334000" cy="3718089"/>
                  <wp:effectExtent b="0" l="0" r="0" t="0"/>
                  <wp:docPr descr="" title="" id="296" name="Picture"/>
                  <a:graphic>
                    <a:graphicData uri="http://schemas.openxmlformats.org/drawingml/2006/picture">
                      <pic:pic>
                        <pic:nvPicPr>
                          <pic:cNvPr descr="Projekte/Grafiken/Hbruecke/Vierquadrantensteller.png" id="297" name="Picture"/>
                          <pic:cNvPicPr>
                            <a:picLocks noChangeArrowheads="1" noChangeAspect="1"/>
                          </pic:cNvPicPr>
                        </pic:nvPicPr>
                        <pic:blipFill>
                          <a:blip r:embed="rId295"/>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98"/>
        </w:tc>
      </w:tr>
    </w:tbl>
    <w:bookmarkStart w:id="318"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2" w:name="fig-H-BrueckeMS"/>
          <w:p>
            <w:pPr>
              <w:pStyle w:val="Compact"/>
              <w:jc w:val="center"/>
            </w:pPr>
            <w:r>
              <w:drawing>
                <wp:inline>
                  <wp:extent cx="3556000" cy="3759200"/>
                  <wp:effectExtent b="0" l="0" r="0" t="0"/>
                  <wp:docPr descr="" title="" id="300" name="Picture"/>
                  <a:graphic>
                    <a:graphicData uri="http://schemas.openxmlformats.org/drawingml/2006/picture">
                      <pic:pic>
                        <pic:nvPicPr>
                          <pic:cNvPr descr="Projekte/Grafiken/Hbruecke/MitSchaltern.png" id="301" name="Picture"/>
                          <pic:cNvPicPr>
                            <a:picLocks noChangeArrowheads="1" noChangeAspect="1"/>
                          </pic:cNvPicPr>
                        </pic:nvPicPr>
                        <pic:blipFill>
                          <a:blip r:embed="rId2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302"/>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307"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306" w:name="fig-H-BrueckeMSLL"/>
          <w:p>
            <w:pPr>
              <w:pStyle w:val="Compact"/>
              <w:jc w:val="center"/>
            </w:pPr>
            <w:r>
              <w:drawing>
                <wp:inline>
                  <wp:extent cx="3556000" cy="3759200"/>
                  <wp:effectExtent b="0" l="0" r="0" t="0"/>
                  <wp:docPr descr="" title="" id="304" name="Picture"/>
                  <a:graphic>
                    <a:graphicData uri="http://schemas.openxmlformats.org/drawingml/2006/picture">
                      <pic:pic>
                        <pic:nvPicPr>
                          <pic:cNvPr descr="Projekte/Grafiken/Hbruecke/MitSchalternLL.png" id="305" name="Picture"/>
                          <pic:cNvPicPr>
                            <a:picLocks noChangeArrowheads="1" noChangeAspect="1"/>
                          </pic:cNvPicPr>
                        </pic:nvPicPr>
                        <pic:blipFill>
                          <a:blip r:embed="rId30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306"/>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307"/>
    <w:bookmarkStart w:id="312"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311" w:name="fig-H-BrueckeMSRL"/>
          <w:p>
            <w:pPr>
              <w:pStyle w:val="Compact"/>
              <w:jc w:val="center"/>
            </w:pPr>
            <w:r>
              <w:drawing>
                <wp:inline>
                  <wp:extent cx="3556000" cy="3759200"/>
                  <wp:effectExtent b="0" l="0" r="0" t="0"/>
                  <wp:docPr descr="" title="" id="309" name="Picture"/>
                  <a:graphic>
                    <a:graphicData uri="http://schemas.openxmlformats.org/drawingml/2006/picture">
                      <pic:pic>
                        <pic:nvPicPr>
                          <pic:cNvPr descr="Projekte/Grafiken/Hbruecke/MitSchalternRL.png" id="310" name="Picture"/>
                          <pic:cNvPicPr>
                            <a:picLocks noChangeArrowheads="1" noChangeAspect="1"/>
                          </pic:cNvPicPr>
                        </pic:nvPicPr>
                        <pic:blipFill>
                          <a:blip r:embed="rId30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311"/>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312"/>
    <w:bookmarkStart w:id="317"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16" w:name="fig-H-BrueckeMSBremse"/>
          <w:p>
            <w:pPr>
              <w:pStyle w:val="Compact"/>
              <w:jc w:val="center"/>
            </w:pPr>
            <w:r>
              <w:drawing>
                <wp:inline>
                  <wp:extent cx="3556000" cy="3759200"/>
                  <wp:effectExtent b="0" l="0" r="0" t="0"/>
                  <wp:docPr descr="" title="" id="314" name="Picture"/>
                  <a:graphic>
                    <a:graphicData uri="http://schemas.openxmlformats.org/drawingml/2006/picture">
                      <pic:pic>
                        <pic:nvPicPr>
                          <pic:cNvPr descr="Projekte/Grafiken/Hbruecke/MitSchalternBremse.png" id="315" name="Picture"/>
                          <pic:cNvPicPr>
                            <a:picLocks noChangeArrowheads="1" noChangeAspect="1"/>
                          </pic:cNvPicPr>
                        </pic:nvPicPr>
                        <pic:blipFill>
                          <a:blip r:embed="rId31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16"/>
        </w:tc>
      </w:tr>
    </w:tbl>
    <w:bookmarkEnd w:id="317"/>
    <w:bookmarkEnd w:id="318"/>
    <w:bookmarkEnd w:id="319"/>
    <w:bookmarkStart w:id="333" w:name="entwicklung-der-logik"/>
    <w:p>
      <w:pPr>
        <w:pStyle w:val="Heading2"/>
      </w:pPr>
      <w:r>
        <w:t xml:space="preserve">5.2 Entwicklung der Logik</w:t>
      </w:r>
    </w:p>
    <w:bookmarkStart w:id="325"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20"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20"/>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C:\Users\leo\AppData\Local\Programs\Quarto\share\formats\docx\note.png" id="3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werden aus den Gleichungen die Wahrheitstabellen erstellt und mit den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23"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2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4"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24"/>
        </w:tc>
      </w:tr>
    </w:tbl>
    <w:p>
      <w:pPr>
        <w:pStyle w:val="BodyText"/>
      </w:pPr>
      <w:r>
        <w:t xml:space="preserve">Die Tabellen stimmen überein. Die Gleichungen sind somit richtig.</w:t>
      </w:r>
    </w:p>
    <w:bookmarkEnd w:id="325"/>
    <w:bookmarkStart w:id="332"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C:\Users\leo\AppData\Local\Programs\Quarto\share\formats\docx\note.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31" w:name="fig-LogikSchaltung"/>
          <w:p>
            <w:pPr>
              <w:pStyle w:val="Compact"/>
              <w:jc w:val="center"/>
            </w:pPr>
            <w:r>
              <w:drawing>
                <wp:inline>
                  <wp:extent cx="5332395" cy="7372951"/>
                  <wp:effectExtent b="0" l="0" r="0" t="0"/>
                  <wp:docPr descr="" title="" id="329" name="Picture"/>
                  <a:graphic>
                    <a:graphicData uri="http://schemas.openxmlformats.org/drawingml/2006/picture">
                      <pic:pic>
                        <pic:nvPicPr>
                          <pic:cNvPr descr="Projekte/Grafiken/Hbruecke/LogicCirciut.png" id="330" name="Picture"/>
                          <pic:cNvPicPr>
                            <a:picLocks noChangeArrowheads="1" noChangeAspect="1"/>
                          </pic:cNvPicPr>
                        </pic:nvPicPr>
                        <pic:blipFill>
                          <a:blip r:embed="rId328"/>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31"/>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32"/>
    <w:bookmarkEnd w:id="333"/>
    <w:bookmarkStart w:id="340"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38"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37" w:name="fig-OPV-Schaltung"/>
          <w:p>
            <w:pPr>
              <w:pStyle w:val="Compact"/>
              <w:jc w:val="center"/>
            </w:pPr>
            <w:r>
              <w:drawing>
                <wp:inline>
                  <wp:extent cx="5334000" cy="1670614"/>
                  <wp:effectExtent b="0" l="0" r="0" t="0"/>
                  <wp:docPr descr="" title="" id="335" name="Picture"/>
                  <a:graphic>
                    <a:graphicData uri="http://schemas.openxmlformats.org/drawingml/2006/picture">
                      <pic:pic>
                        <pic:nvPicPr>
                          <pic:cNvPr descr="Projekte/Grafiken/Hbruecke/OPV-Schaltung.png" id="336" name="Picture"/>
                          <pic:cNvPicPr>
                            <a:picLocks noChangeArrowheads="1" noChangeAspect="1"/>
                          </pic:cNvPicPr>
                        </pic:nvPicPr>
                        <pic:blipFill>
                          <a:blip r:embed="rId334"/>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37"/>
        </w:tc>
      </w:tr>
    </w:tbl>
    <w:bookmarkEnd w:id="338"/>
    <w:bookmarkStart w:id="339" w:name="umsetzung-in-der-praxis"/>
    <w:p>
      <w:pPr>
        <w:pStyle w:val="Heading3"/>
      </w:pPr>
      <w:r>
        <w:t xml:space="preserve">5.3.2 Umsetzung in der Praxis</w:t>
      </w:r>
    </w:p>
    <w:p>
      <w:pPr>
        <w:pStyle w:val="FirstParagraph"/>
      </w:pPr>
      <w:r>
        <w:t xml:space="preserve">Wird eine H-Brücke in der Praxis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Anwendungsbeispiele und</w:t>
      </w:r>
      <w:r>
        <w:t xml:space="preserve"> </w:t>
      </w:r>
      <w:r>
        <w:rPr>
          <w:iCs/>
          <w:i/>
        </w:rPr>
        <w:t xml:space="preserve">Application Notes</w:t>
      </w:r>
      <w:r>
        <w:t xml:space="preserve"> </w:t>
      </w:r>
      <w:r>
        <w:t xml:space="preserve">zu finden. Diese sind eine gute Quelle für die Entwicklung der Schaltungen.</w:t>
      </w:r>
    </w:p>
    <w:bookmarkEnd w:id="339"/>
    <w:bookmarkEnd w:id="340"/>
    <w:bookmarkStart w:id="353" w:name="funktionsüberpürfung-der-h-brücke"/>
    <w:p>
      <w:pPr>
        <w:pStyle w:val="Heading2"/>
      </w:pPr>
      <w:r>
        <w:t xml:space="preserve">5.4 Funktionsüberpürfung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44" w:name="fig-TopSheet"/>
          <w:p>
            <w:pPr>
              <w:pStyle w:val="Compact"/>
              <w:jc w:val="center"/>
            </w:pPr>
            <w:r>
              <w:drawing>
                <wp:inline>
                  <wp:extent cx="5334000" cy="1685904"/>
                  <wp:effectExtent b="0" l="0" r="0" t="0"/>
                  <wp:docPr descr="" title="" id="342" name="Picture"/>
                  <a:graphic>
                    <a:graphicData uri="http://schemas.openxmlformats.org/drawingml/2006/picture">
                      <pic:pic>
                        <pic:nvPicPr>
                          <pic:cNvPr descr="Projekte/Grafiken/Hbruecke/TopSheet.png" id="343" name="Picture"/>
                          <pic:cNvPicPr>
                            <a:picLocks noChangeArrowheads="1" noChangeAspect="1"/>
                          </pic:cNvPicPr>
                        </pic:nvPicPr>
                        <pic:blipFill>
                          <a:blip r:embed="rId341"/>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4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48" w:name="fig-SimpleMotorModel"/>
          <w:p>
            <w:pPr>
              <w:pStyle w:val="Compact"/>
              <w:jc w:val="center"/>
            </w:pPr>
            <w:r>
              <w:drawing>
                <wp:inline>
                  <wp:extent cx="1157387" cy="2097365"/>
                  <wp:effectExtent b="0" l="0" r="0" t="0"/>
                  <wp:docPr descr="" title="" id="346" name="Picture"/>
                  <a:graphic>
                    <a:graphicData uri="http://schemas.openxmlformats.org/drawingml/2006/picture">
                      <pic:pic>
                        <pic:nvPicPr>
                          <pic:cNvPr descr="Projekte/Grafiken/Hbruecke/SimpleMotorModel.png" id="347" name="Picture"/>
                          <pic:cNvPicPr>
                            <a:picLocks noChangeArrowheads="1" noChangeAspect="1"/>
                          </pic:cNvPicPr>
                        </pic:nvPicPr>
                        <pic:blipFill>
                          <a:blip r:embed="rId345"/>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4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2" w:name="fig-ExtendedMotorModel"/>
          <w:p>
            <w:pPr>
              <w:pStyle w:val="Compact"/>
              <w:jc w:val="center"/>
            </w:pPr>
            <w:r>
              <w:drawing>
                <wp:inline>
                  <wp:extent cx="4267200" cy="4003721"/>
                  <wp:effectExtent b="0" l="0" r="0" t="0"/>
                  <wp:docPr descr="" title="" id="350" name="Picture"/>
                  <a:graphic>
                    <a:graphicData uri="http://schemas.openxmlformats.org/drawingml/2006/picture">
                      <pic:pic>
                        <pic:nvPicPr>
                          <pic:cNvPr descr="Projekte/Grafiken/Hbruecke/AdvancedMotorModel.png" id="351" name="Picture"/>
                          <pic:cNvPicPr>
                            <a:picLocks noChangeArrowheads="1" noChangeAspect="1"/>
                          </pic:cNvPicPr>
                        </pic:nvPicPr>
                        <pic:blipFill>
                          <a:blip r:embed="rId349"/>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52"/>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Direction ändern. Die Bremsfunktion lässt sich mittels Break aktivieren.</w:t>
      </w:r>
    </w:p>
    <w:bookmarkEnd w:id="353"/>
    <w:bookmarkStart w:id="354" w:name="pwm-und-induktive-lasten"/>
    <w:p>
      <w:pPr>
        <w:pStyle w:val="Heading2"/>
      </w:pPr>
      <w:r>
        <w:t xml:space="preserve">5.5 PWM und induktive Lasten</w:t>
      </w:r>
    </w:p>
    <w:p>
      <w:pPr>
        <w:pStyle w:val="FirstParagraph"/>
      </w:pPr>
      <w:r>
        <w:rPr>
          <w:bCs/>
          <w:b/>
        </w:rPr>
        <w:t xml:space="preserve">To Be Continued</w:t>
      </w:r>
    </w:p>
    <w:bookmarkEnd w:id="354"/>
    <w:bookmarkEnd w:id="355"/>
    <w:bookmarkStart w:id="448"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65"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57"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56">
        <w:r>
          <w:rPr>
            <w:rStyle w:val="Hyperlink"/>
          </w:rPr>
          <w:t xml:space="preserve">Altium Designer - Oscillators</w:t>
        </w:r>
      </w:hyperlink>
    </w:p>
    <w:bookmarkEnd w:id="357"/>
    <w:bookmarkStart w:id="364"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61" w:name="fig-OscBlockschaltbildOszillator"/>
          <w:p>
            <w:pPr>
              <w:pStyle w:val="Compact"/>
              <w:jc w:val="center"/>
            </w:pPr>
            <w:r>
              <w:drawing>
                <wp:inline>
                  <wp:extent cx="5334000" cy="1796254"/>
                  <wp:effectExtent b="0" l="0" r="0" t="0"/>
                  <wp:docPr descr="" title="" id="359" name="Picture"/>
                  <a:graphic>
                    <a:graphicData uri="http://schemas.openxmlformats.org/drawingml/2006/picture">
                      <pic:pic>
                        <pic:nvPicPr>
                          <pic:cNvPr descr="Projekte/Oszillator/OszillatorBlockschaltbild.png" id="360" name="Picture"/>
                          <pic:cNvPicPr>
                            <a:picLocks noChangeArrowheads="1" noChangeAspect="1"/>
                          </pic:cNvPicPr>
                        </pic:nvPicPr>
                        <pic:blipFill>
                          <a:blip r:embed="rId358"/>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61"/>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62">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63">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64"/>
    <w:bookmarkEnd w:id="365"/>
    <w:bookmarkStart w:id="441"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84"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69" w:name="fig-RCSchwingkreis"/>
          <w:p>
            <w:pPr>
              <w:pStyle w:val="Compact"/>
              <w:jc w:val="center"/>
            </w:pPr>
            <w:r>
              <w:drawing>
                <wp:inline>
                  <wp:extent cx="3599999" cy="4534999"/>
                  <wp:effectExtent b="0" l="0" r="0" t="0"/>
                  <wp:docPr descr="" title="" id="367" name="Picture"/>
                  <a:graphic>
                    <a:graphicData uri="http://schemas.openxmlformats.org/drawingml/2006/picture">
                      <pic:pic>
                        <pic:nvPicPr>
                          <pic:cNvPr descr="Projekte/Oszillator/RCSchwingkreis.png" id="368" name="Picture"/>
                          <pic:cNvPicPr>
                            <a:picLocks noChangeArrowheads="1" noChangeAspect="1"/>
                          </pic:cNvPicPr>
                        </pic:nvPicPr>
                        <pic:blipFill>
                          <a:blip r:embed="rId366"/>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69"/>
        </w:tc>
      </w:tr>
    </w:tbl>
    <w:p>
      <w:pPr>
        <w:pStyle w:val="BodyText"/>
      </w:pPr>
      <w:r>
        <w:t xml:space="preserve">Die Übertragungsfunktion lässt sich nun auf zwei Arten darstellen. Entweder mathematisch mittels der Komplexen Wechselstromrechnung oder mittels Simulation.</w:t>
      </w:r>
    </w:p>
    <w:bookmarkStart w:id="376"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70"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70"/>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71"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71"/>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72"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72"/>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73"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73"/>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74"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74"/>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75"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75"/>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76"/>
    <w:bookmarkStart w:id="383"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80" w:name="fig-ACBodeRCSchwingkreis"/>
          <w:p>
            <w:pPr>
              <w:pStyle w:val="Compact"/>
              <w:jc w:val="center"/>
            </w:pPr>
            <w:r>
              <w:drawing>
                <wp:inline>
                  <wp:extent cx="5334000" cy="2804948"/>
                  <wp:effectExtent b="0" l="0" r="0" t="0"/>
                  <wp:docPr descr="" title="" id="378" name="Picture"/>
                  <a:graphic>
                    <a:graphicData uri="http://schemas.openxmlformats.org/drawingml/2006/picture">
                      <pic:pic>
                        <pic:nvPicPr>
                          <pic:cNvPr descr="Projekte/Oszillator/ACAnalysis.png" id="379" name="Picture"/>
                          <pic:cNvPicPr>
                            <a:picLocks noChangeArrowheads="1" noChangeAspect="1"/>
                          </pic:cNvPicPr>
                        </pic:nvPicPr>
                        <pic:blipFill>
                          <a:blip r:embed="rId377"/>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8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1"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81"/>
        </w:tc>
      </w:tr>
    </w:tbl>
    <w:p>
      <w:pPr>
        <w:pStyle w:val="BodyText"/>
      </w:pPr>
      <w:r>
        <w:t xml:space="preserve">Um die Ergebnisse vergleichen zu können muss von der Frequenz auf die Kreisfrequenz umgerechnet werden.</w:t>
      </w:r>
    </w:p>
    <w:p>
      <w:pPr>
        <w:pStyle w:val="BodyText"/>
      </w:pPr>
      <w:bookmarkStart w:id="382"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82"/>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83"/>
    <w:bookmarkEnd w:id="384"/>
    <w:bookmarkStart w:id="400"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86"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85"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85"/>
    </w:p>
    <w:p>
      <w:pPr>
        <w:pStyle w:val="FirstParagraph"/>
      </w:pPr>
      <m:oMath>
        <m:sSub>
          <m:e>
            <m:r>
              <m:t>k</m:t>
            </m:r>
          </m:e>
          <m:sub>
            <m:r>
              <m:t>O</m:t>
            </m:r>
            <m:r>
              <m:t>P</m:t>
            </m:r>
            <m:r>
              <m:t>V</m:t>
            </m:r>
          </m:sub>
        </m:sSub>
      </m:oMath>
      <w:r>
        <w:t xml:space="preserve"> </w:t>
      </w:r>
      <w:r>
        <w:t xml:space="preserve">… Verstärkung des Verstärkers</w:t>
      </w:r>
    </w:p>
    <w:bookmarkEnd w:id="386"/>
    <w:bookmarkStart w:id="393"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90" w:name="fig-OscOpenLoop"/>
          <w:p>
            <w:pPr>
              <w:pStyle w:val="Compact"/>
              <w:jc w:val="center"/>
            </w:pPr>
            <w:r>
              <w:drawing>
                <wp:inline>
                  <wp:extent cx="3599999" cy="855605"/>
                  <wp:effectExtent b="0" l="0" r="0" t="0"/>
                  <wp:docPr descr="" title="" id="388" name="Picture"/>
                  <a:graphic>
                    <a:graphicData uri="http://schemas.openxmlformats.org/drawingml/2006/picture">
                      <pic:pic>
                        <pic:nvPicPr>
                          <pic:cNvPr descr="Projekte/Oszillator/OszillatorBlockschaltbildOpenLoop.png" id="389" name="Picture"/>
                          <pic:cNvPicPr>
                            <a:picLocks noChangeArrowheads="1" noChangeAspect="1"/>
                          </pic:cNvPicPr>
                        </pic:nvPicPr>
                        <pic:blipFill>
                          <a:blip r:embed="rId387"/>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90"/>
        </w:tc>
      </w:tr>
    </w:tbl>
    <w:p>
      <w:pPr>
        <w:pStyle w:val="BodyText"/>
      </w:pPr>
      <w:bookmarkStart w:id="391"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91"/>
    </w:p>
    <w:p>
      <w:pPr>
        <w:pStyle w:val="FirstParagraph"/>
      </w:pPr>
      <w:bookmarkStart w:id="392"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92"/>
    </w:p>
    <w:bookmarkEnd w:id="393"/>
    <w:bookmarkStart w:id="394"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94"/>
    <w:bookmarkStart w:id="395"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95"/>
    <w:bookmarkStart w:id="396"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96"/>
    <w:bookmarkStart w:id="398"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97"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97"/>
    </w:p>
    <w:bookmarkEnd w:id="398"/>
    <w:bookmarkStart w:id="399"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399"/>
    <w:bookmarkEnd w:id="400"/>
    <w:bookmarkStart w:id="440"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401"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401"/>
    <w:bookmarkStart w:id="411"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405" w:name="fig-OscOpenLoopSchaltung"/>
          <w:p>
            <w:pPr>
              <w:pStyle w:val="Compact"/>
              <w:jc w:val="center"/>
            </w:pPr>
            <w:r>
              <w:drawing>
                <wp:inline>
                  <wp:extent cx="5334000" cy="3465364"/>
                  <wp:effectExtent b="0" l="0" r="0" t="0"/>
                  <wp:docPr descr="" title="" id="403" name="Picture"/>
                  <a:graphic>
                    <a:graphicData uri="http://schemas.openxmlformats.org/drawingml/2006/picture">
                      <pic:pic>
                        <pic:nvPicPr>
                          <pic:cNvPr descr="Projekte/Oszillator/OpenLoop.png" id="404" name="Picture"/>
                          <pic:cNvPicPr>
                            <a:picLocks noChangeArrowheads="1" noChangeAspect="1"/>
                          </pic:cNvPicPr>
                        </pic:nvPicPr>
                        <pic:blipFill>
                          <a:blip r:embed="rId402"/>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40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9" w:name="fig-OscOpenLoopSimulation"/>
          <w:p>
            <w:pPr>
              <w:pStyle w:val="Compact"/>
              <w:jc w:val="center"/>
            </w:pPr>
            <w:r>
              <w:drawing>
                <wp:inline>
                  <wp:extent cx="5334000" cy="3511874"/>
                  <wp:effectExtent b="0" l="0" r="0" t="0"/>
                  <wp:docPr descr="" title="" id="407" name="Picture"/>
                  <a:graphic>
                    <a:graphicData uri="http://schemas.openxmlformats.org/drawingml/2006/picture">
                      <pic:pic>
                        <pic:nvPicPr>
                          <pic:cNvPr descr="Projekte/Oszillator/RCOpenLoopBode.png" id="408" name="Picture"/>
                          <pic:cNvPicPr>
                            <a:picLocks noChangeArrowheads="1" noChangeAspect="1"/>
                          </pic:cNvPicPr>
                        </pic:nvPicPr>
                        <pic:blipFill>
                          <a:blip r:embed="rId406"/>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40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0"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410"/>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411"/>
    <w:bookmarkStart w:id="424"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15" w:name="fig-OscClosedLoopSchaltung"/>
          <w:p>
            <w:pPr>
              <w:pStyle w:val="Compact"/>
              <w:jc w:val="center"/>
            </w:pPr>
            <w:r>
              <w:drawing>
                <wp:inline>
                  <wp:extent cx="5334000" cy="3415413"/>
                  <wp:effectExtent b="0" l="0" r="0" t="0"/>
                  <wp:docPr descr="" title="" id="413" name="Picture"/>
                  <a:graphic>
                    <a:graphicData uri="http://schemas.openxmlformats.org/drawingml/2006/picture">
                      <pic:pic>
                        <pic:nvPicPr>
                          <pic:cNvPr descr="Projekte/Oszillator/ClosedLoop.png" id="414" name="Picture"/>
                          <pic:cNvPicPr>
                            <a:picLocks noChangeArrowheads="1" noChangeAspect="1"/>
                          </pic:cNvPicPr>
                        </pic:nvPicPr>
                        <pic:blipFill>
                          <a:blip r:embed="rId412"/>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1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9" w:name="fig-OscClosedLoopSimulationStable"/>
          <w:p>
            <w:pPr>
              <w:pStyle w:val="Compact"/>
              <w:jc w:val="center"/>
            </w:pPr>
            <w:r>
              <w:drawing>
                <wp:inline>
                  <wp:extent cx="5334000" cy="3547042"/>
                  <wp:effectExtent b="0" l="0" r="0" t="0"/>
                  <wp:docPr descr="" title="" id="417" name="Picture"/>
                  <a:graphic>
                    <a:graphicData uri="http://schemas.openxmlformats.org/drawingml/2006/picture">
                      <pic:pic>
                        <pic:nvPicPr>
                          <pic:cNvPr descr="Projekte/Oszillator/RCClosedLoopTransStable.png" id="418" name="Picture"/>
                          <pic:cNvPicPr>
                            <a:picLocks noChangeArrowheads="1" noChangeAspect="1"/>
                          </pic:cNvPicPr>
                        </pic:nvPicPr>
                        <pic:blipFill>
                          <a:blip r:embed="rId416"/>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19"/>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3" w:name="fig-OscClosedLoopSimulationInstable"/>
          <w:p>
            <w:pPr>
              <w:pStyle w:val="Compact"/>
              <w:jc w:val="center"/>
            </w:pPr>
            <w:r>
              <w:drawing>
                <wp:inline>
                  <wp:extent cx="5334000" cy="3107330"/>
                  <wp:effectExtent b="0" l="0" r="0" t="0"/>
                  <wp:docPr descr="" title="" id="421" name="Picture"/>
                  <a:graphic>
                    <a:graphicData uri="http://schemas.openxmlformats.org/drawingml/2006/picture">
                      <pic:pic>
                        <pic:nvPicPr>
                          <pic:cNvPr descr="Projekte/Oszillator/RCClosedLoopTransInst.png" id="422" name="Picture"/>
                          <pic:cNvPicPr>
                            <a:picLocks noChangeArrowheads="1" noChangeAspect="1"/>
                          </pic:cNvPicPr>
                        </pic:nvPicPr>
                        <pic:blipFill>
                          <a:blip r:embed="rId420"/>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3"/>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24"/>
    <w:bookmarkStart w:id="425"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25"/>
    <w:bookmarkStart w:id="434"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29" w:name="fig-OscVCR"/>
          <w:p>
            <w:pPr>
              <w:pStyle w:val="Compact"/>
              <w:jc w:val="center"/>
            </w:pPr>
            <w:r>
              <w:drawing>
                <wp:inline>
                  <wp:extent cx="5334000" cy="5105166"/>
                  <wp:effectExtent b="0" l="0" r="0" t="0"/>
                  <wp:docPr descr="" title="" id="427" name="Picture"/>
                  <a:graphic>
                    <a:graphicData uri="http://schemas.openxmlformats.org/drawingml/2006/picture">
                      <pic:pic>
                        <pic:nvPicPr>
                          <pic:cNvPr descr="Projekte/Oszillator/PKanalVCR.png" id="428" name="Picture"/>
                          <pic:cNvPicPr>
                            <a:picLocks noChangeArrowheads="1" noChangeAspect="1"/>
                          </pic:cNvPicPr>
                        </pic:nvPicPr>
                        <pic:blipFill>
                          <a:blip r:embed="rId426"/>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3" w:name="fig-OscVCRDCSweep"/>
          <w:p>
            <w:pPr>
              <w:pStyle w:val="Compact"/>
              <w:jc w:val="center"/>
            </w:pPr>
            <w:r>
              <w:drawing>
                <wp:inline>
                  <wp:extent cx="5334000" cy="3181684"/>
                  <wp:effectExtent b="0" l="0" r="0" t="0"/>
                  <wp:docPr descr="" title="" id="431" name="Picture"/>
                  <a:graphic>
                    <a:graphicData uri="http://schemas.openxmlformats.org/drawingml/2006/picture">
                      <pic:pic>
                        <pic:nvPicPr>
                          <pic:cNvPr descr="Projekte/Oszillator/VCRDCSweep.png" id="432" name="Picture"/>
                          <pic:cNvPicPr>
                            <a:picLocks noChangeArrowheads="1" noChangeAspect="1"/>
                          </pic:cNvPicPr>
                        </pic:nvPicPr>
                        <pic:blipFill>
                          <a:blip r:embed="rId430"/>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33"/>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34"/>
    <w:bookmarkStart w:id="439"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38" w:name="fig-OscSchaltung"/>
          <w:p>
            <w:pPr>
              <w:pStyle w:val="Compact"/>
              <w:jc w:val="center"/>
            </w:pPr>
            <w:r>
              <w:drawing>
                <wp:inline>
                  <wp:extent cx="5334000" cy="6141554"/>
                  <wp:effectExtent b="0" l="0" r="0" t="0"/>
                  <wp:docPr descr="" title="" id="436" name="Picture"/>
                  <a:graphic>
                    <a:graphicData uri="http://schemas.openxmlformats.org/drawingml/2006/picture">
                      <pic:pic>
                        <pic:nvPicPr>
                          <pic:cNvPr descr="Projekte/Oszillator/OszillatorPKanal.png" id="437" name="Picture"/>
                          <pic:cNvPicPr>
                            <a:picLocks noChangeArrowheads="1" noChangeAspect="1"/>
                          </pic:cNvPicPr>
                        </pic:nvPicPr>
                        <pic:blipFill>
                          <a:blip r:embed="rId435"/>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38"/>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39"/>
    <w:bookmarkEnd w:id="440"/>
    <w:bookmarkEnd w:id="441"/>
    <w:bookmarkStart w:id="447" w:name="aufgabenstellung-1"/>
    <w:p>
      <w:pPr>
        <w:pStyle w:val="Heading2"/>
      </w:pPr>
      <w:r>
        <w:t xml:space="preserve">6.3 Aufgabenstellung</w:t>
      </w:r>
    </w:p>
    <w:p>
      <w:pPr>
        <w:pStyle w:val="FirstParagraph"/>
      </w:pPr>
      <w:r>
        <w:t xml:space="preserve">Hier werden einige Ideen für die Aufgabenstellung gegeben.</w:t>
      </w:r>
    </w:p>
    <w:bookmarkStart w:id="442"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42"/>
    <w:bookmarkStart w:id="443"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43"/>
    <w:bookmarkStart w:id="444"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44"/>
    <w:bookmarkStart w:id="445"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45"/>
    <w:bookmarkStart w:id="446"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End w:id="446"/>
    <w:bookmarkEnd w:id="447"/>
    <w:bookmarkEnd w:id="448"/>
    <w:bookmarkStart w:id="472" w:name="sec-VarStatFilter"/>
    <w:p>
      <w:pPr>
        <w:pStyle w:val="Heading1"/>
      </w:pPr>
      <w:r>
        <w:t xml:space="preserve">7. State Variable Filter</w:t>
      </w:r>
    </w:p>
    <w:p>
      <w:pPr>
        <w:pStyle w:val="FirstParagraph"/>
      </w:pPr>
      <w:r>
        <w:t xml:space="preserve">Filter allgemein werden eingesetzt um Signale zu verarbeiten. Ein Filter kann dabei unterschiedliche Aufgaben übernehmen. Ein Filter kann z.B. dazu verwendet werden, um ein Signal zu glätten, um Störungen zu unterdrücken oder um Signale zu trennen. Filter können dabei unterschiedliche Strukturen aufweisen.</w:t>
      </w:r>
    </w:p>
    <w:p>
      <w:pPr>
        <w:pStyle w:val="BodyText"/>
      </w:pPr>
      <w:r>
        <w:t xml:space="preserve">Der hier vorgestellte</w:t>
      </w:r>
      <w:r>
        <w:t xml:space="preserve"> </w:t>
      </w:r>
      <w:r>
        <w:rPr>
          <w:iCs/>
          <w:i/>
        </w:rPr>
        <w:t xml:space="preserve">State Variable Filter</w:t>
      </w:r>
      <w:r>
        <w:t xml:space="preserve">,</w:t>
      </w:r>
      <w:r>
        <w:t xml:space="preserve"> </w:t>
      </w:r>
      <w:hyperlink w:anchor="fig-svf_sch">
        <w:r>
          <w:rPr>
            <w:rStyle w:val="Hyperlink"/>
          </w:rPr>
          <w:t xml:space="preserve">Abbildung 7.1</w:t>
        </w:r>
      </w:hyperlink>
      <w:r>
        <w:t xml:space="preserve"> </w:t>
      </w:r>
      <w:r>
        <w:t xml:space="preserve">ist ein Filter, welcher mit einer Schaltung sowohl als Tiefpassfilter, Hochpassfilter, Bandpassfilter oder Bandsperre verwendet werden kann. Welcher Filter auf das Eingangssignal angewandt wird, wird durch die Auswahl des Ausganges bestimmt.</w:t>
      </w:r>
    </w:p>
    <w:tbl>
      <w:tblPr>
        <w:tblStyle w:val="Table"/>
        <w:tblW w:type="pct" w:w="5000"/>
        <w:tblLook w:firstRow="0" w:lastRow="0" w:firstColumn="0" w:lastColumn="0" w:noHBand="0" w:noVBand="0" w:val="0000"/>
        <w:jc w:val="start"/>
        <w:tblLayout w:type="fixed"/>
      </w:tblPr>
      <w:tblGrid>
        <w:gridCol w:w="7920"/>
      </w:tblGrid>
      <w:tr>
        <w:tc>
          <w:tcPr/>
          <w:bookmarkStart w:id="452" w:name="fig-svf_sch"/>
          <w:p>
            <w:pPr>
              <w:pStyle w:val="Compact"/>
              <w:jc w:val="center"/>
            </w:pPr>
            <w:r>
              <w:drawing>
                <wp:inline>
                  <wp:extent cx="5334000" cy="1952975"/>
                  <wp:effectExtent b="0" l="0" r="0" t="0"/>
                  <wp:docPr descr="" title="" id="450" name="Picture"/>
                  <a:graphic>
                    <a:graphicData uri="http://schemas.openxmlformats.org/drawingml/2006/picture">
                      <pic:pic>
                        <pic:nvPicPr>
                          <pic:cNvPr descr="Projekte/SVF/SVF_Circuit.png" id="451" name="Picture"/>
                          <pic:cNvPicPr>
                            <a:picLocks noChangeArrowheads="1" noChangeAspect="1"/>
                          </pic:cNvPicPr>
                        </pic:nvPicPr>
                        <pic:blipFill>
                          <a:blip r:embed="rId449"/>
                          <a:stretch>
                            <a:fillRect/>
                          </a:stretch>
                        </pic:blipFill>
                        <pic:spPr bwMode="auto">
                          <a:xfrm>
                            <a:off x="0" y="0"/>
                            <a:ext cx="5334000" cy="19529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Schaltung eines</w:t>
            </w:r>
            <w:r>
              <w:t xml:space="preserve"> </w:t>
            </w:r>
            <w:r>
              <w:rPr>
                <w:iCs/>
                <w:i/>
              </w:rPr>
              <w:t xml:space="preserve">State Variable Filters</w:t>
            </w:r>
          </w:p>
          <w:bookmarkEnd w:id="452"/>
        </w:tc>
      </w:tr>
    </w:tbl>
    <w:p>
      <w:pPr>
        <w:pStyle w:val="BodyText"/>
      </w:pPr>
      <w:r>
        <w:t xml:space="preserve">Das Verhalten von Filtern kann am besten mit deren Übertragungsfunktion beschrieben werden. Dabei geht es immer darum, das Verhältnis von Ausgangssignal zu Eingangssignal zu beschreiben. Da sich das Wort Filter auf Frequenzen bezieht, wird die Übertragungsfunktion in der Regel im Frequenzbereich betrachtet. Ob dabei nun die komplexe schreibweise</w:t>
      </w:r>
      <w:r>
        <w:t xml:space="preserve"> </w:t>
      </w:r>
      <m:oMath>
        <m:r>
          <m:t>j</m:t>
        </m:r>
        <m:r>
          <m:t>ω</m:t>
        </m:r>
      </m:oMath>
      <w:r>
        <w:t xml:space="preserve"> </w:t>
      </w:r>
      <w:r>
        <w:t xml:space="preserve">oder die Laplace-Transformation</w:t>
      </w:r>
      <w:r>
        <w:t xml:space="preserve"> </w:t>
      </w:r>
      <m:oMath>
        <m:r>
          <m:t>s</m:t>
        </m:r>
      </m:oMath>
      <w:r>
        <w:t xml:space="preserve"> </w:t>
      </w:r>
      <w:r>
        <w:t xml:space="preserve">verwendet wird, hängt im wesentlichen davon ab welche Art von Eingangssignalen betrachtet werden sollen.</w:t>
      </w:r>
    </w:p>
    <w:p>
      <w:pPr>
        <w:pStyle w:val="BodyText"/>
      </w:pPr>
      <w:r>
        <w:t xml:space="preserve">Für den hier gezeigten</w:t>
      </w:r>
      <w:r>
        <w:t xml:space="preserve"> </w:t>
      </w:r>
      <w:r>
        <w:rPr>
          <w:iCs/>
          <w:i/>
        </w:rPr>
        <w:t xml:space="preserve">State Variable Filter</w:t>
      </w:r>
      <w:r>
        <w:t xml:space="preserve"> </w:t>
      </w:r>
      <w:r>
        <w:t xml:space="preserve">müssen die Übertragungsfunktionen für die vier möglichen Filtertypen analytisch berechnet werden.</w:t>
      </w:r>
    </w:p>
    <w:p>
      <w:pPr>
        <w:pStyle w:val="BodyText"/>
      </w:pPr>
      <w:r>
        <w:t xml:space="preserve">Die analytisch berechneten Übertragungsfunktionen der Filter werden verwendet, um Bodediagramme zu erstellen. Diese Bodediagramme geben Aufschluss über das Frequenzverhalten des Systems, indem sie die Verstärkung und Phasenverschiebung in Abhängigkeit von der Frequenz darstellen. Im Anschluss an die Berechnung der Bodediagramme auf analytischer Basis erfolgt der Vergleich mit numerischen Simulationsergebnissen, die in</w:t>
      </w:r>
      <w:r>
        <w:t xml:space="preserve"> </w:t>
      </w:r>
      <w:r>
        <w:rPr>
          <w:iCs/>
          <w:i/>
        </w:rPr>
        <w:t xml:space="preserve">Altium</w:t>
      </w:r>
      <w:r>
        <w:t xml:space="preserve"> </w:t>
      </w:r>
      <w:r>
        <w:t xml:space="preserve">durchgeführt werden.</w:t>
      </w:r>
    </w:p>
    <w:p>
      <w:pPr>
        <w:pStyle w:val="BodyText"/>
      </w:pPr>
      <w:r>
        <w:t xml:space="preserve">Der Vergleich zwischen analytischen und simulierten Ergebnissen ermöglicht eine Überprüfung der Genauigkeit des mathematischen Modells sowie der Simulationseinstellungen in Altium. Eventuelle Abweichungen können auf Vereinfachungen im analytischen Modell, numerische Fehler oder auf die verwendeten Bauteilparameter in der Simulation zurückzuführen sein.</w:t>
      </w:r>
    </w:p>
    <w:bookmarkStart w:id="471" w:name="Xabd30498889489e53de02ca3e75b2bd56c071f3"/>
    <w:p>
      <w:pPr>
        <w:pStyle w:val="Heading2"/>
      </w:pPr>
      <w:r>
        <w:t xml:space="preserve">7.1 Analytische Herleitung der Übertragungsfunktionen</w:t>
      </w:r>
    </w:p>
    <w:bookmarkStart w:id="470" w:name="refs"/>
    <w:bookmarkStart w:id="454" w:name="ref-BJT_Kennlinie"/>
    <w:p>
      <w:pPr>
        <w:pStyle w:val="Bibliography"/>
      </w:pPr>
      <w:r>
        <w:t xml:space="preserve">1.</w:t>
      </w:r>
      <w:r>
        <w:t xml:space="preserve"> </w:t>
      </w:r>
      <w:r>
        <w:t xml:space="preserve">	</w:t>
      </w:r>
      <w:r>
        <w:t xml:space="preserve">Biezl V Bipolartransistor Kennlinienfeld.</w:t>
      </w:r>
      <w:r>
        <w:t xml:space="preserve"> </w:t>
      </w:r>
      <w:hyperlink r:id="rId453">
        <w:r>
          <w:rPr>
            <w:rStyle w:val="Hyperlink"/>
          </w:rPr>
          <w:t xml:space="preserve">https://commons.wikimedia.org/w/index.php?curid=7329334</w:t>
        </w:r>
      </w:hyperlink>
      <w:r>
        <w:t xml:space="preserve">. Accessed 19 Nov 2023</w:t>
      </w:r>
    </w:p>
    <w:bookmarkEnd w:id="454"/>
    <w:bookmarkStart w:id="455" w:name="ref-boehmer17"/>
    <w:p>
      <w:pPr>
        <w:pStyle w:val="Bibliography"/>
      </w:pPr>
      <w:r>
        <w:t xml:space="preserve">2.</w:t>
      </w:r>
      <w:r>
        <w:t xml:space="preserve"> </w:t>
      </w:r>
      <w:r>
        <w:t xml:space="preserve">	</w:t>
      </w:r>
      <w:r>
        <w:t xml:space="preserve">Böhmer E, Ehrhardt D, Oberschelp W (2018) Elemente der angewandten Elektronik. Springer Verlag, Wiesbaden</w:t>
      </w:r>
    </w:p>
    <w:bookmarkEnd w:id="455"/>
    <w:bookmarkStart w:id="457" w:name="ref-DC-Motor_Market"/>
    <w:p>
      <w:pPr>
        <w:pStyle w:val="Bibliography"/>
      </w:pPr>
      <w:r>
        <w:t xml:space="preserve">3.</w:t>
      </w:r>
      <w:r>
        <w:t xml:space="preserve"> </w:t>
      </w:r>
      <w:r>
        <w:t xml:space="preserve">	</w:t>
      </w:r>
      <w:r>
        <w:t xml:space="preserve">Transparency Market Reserach Inc DC Motors Market.</w:t>
      </w:r>
      <w:r>
        <w:t xml:space="preserve"> </w:t>
      </w:r>
      <w:hyperlink r:id="rId456">
        <w:r>
          <w:rPr>
            <w:rStyle w:val="Hyperlink"/>
          </w:rPr>
          <w:t xml:space="preserve">https://www.transparencymarketresearch.com/dc-motors-market.html</w:t>
        </w:r>
      </w:hyperlink>
      <w:r>
        <w:t xml:space="preserve">. Accessed 13 Dez 2023</w:t>
      </w:r>
    </w:p>
    <w:bookmarkEnd w:id="457"/>
    <w:bookmarkStart w:id="459" w:name="ref-HBruecke"/>
    <w:p>
      <w:pPr>
        <w:pStyle w:val="Bibliography"/>
      </w:pPr>
      <w:r>
        <w:t xml:space="preserve">4.</w:t>
      </w:r>
      <w:r>
        <w:t xml:space="preserve"> </w:t>
      </w:r>
      <w:r>
        <w:t xml:space="preserve">	</w:t>
      </w:r>
      <w:r>
        <w:t xml:space="preserve">Biezl V Vierquadrantensteller steuert Gleichstrommotor.</w:t>
      </w:r>
      <w:r>
        <w:t xml:space="preserve"> </w:t>
      </w:r>
      <w:hyperlink r:id="rId458">
        <w:r>
          <w:rPr>
            <w:rStyle w:val="Hyperlink"/>
          </w:rPr>
          <w:t xml:space="preserve">https://commons.wikimedia.org/w/index.php?curid=4792919</w:t>
        </w:r>
      </w:hyperlink>
      <w:r>
        <w:t xml:space="preserve">. Accessed 13 Dez 2023</w:t>
      </w:r>
    </w:p>
    <w:bookmarkEnd w:id="459"/>
    <w:bookmarkStart w:id="461"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60">
        <w:r>
          <w:rPr>
            <w:rStyle w:val="Hyperlink"/>
          </w:rPr>
          <w:t xml:space="preserve">https://www.infineon.com/dgdl/Infineon-TLE7182EM-DS-v01_01-en.pdf?fileId=db3a30432f5008fe012f5442920c3996</w:t>
        </w:r>
      </w:hyperlink>
      <w:r>
        <w:t xml:space="preserve">. Accessed 1 Feb 2024</w:t>
      </w:r>
    </w:p>
    <w:bookmarkEnd w:id="461"/>
    <w:bookmarkStart w:id="463" w:name="ref-LogicDriverL99H02"/>
    <w:p>
      <w:pPr>
        <w:pStyle w:val="Bibliography"/>
      </w:pPr>
      <w:r>
        <w:t xml:space="preserve">6.</w:t>
      </w:r>
      <w:r>
        <w:t xml:space="preserve"> </w:t>
      </w:r>
      <w:r>
        <w:t xml:space="preserve">	</w:t>
      </w:r>
      <w:r>
        <w:t xml:space="preserve">Microelectronics S L99H02 Motor bridge driver.</w:t>
      </w:r>
      <w:r>
        <w:t xml:space="preserve"> </w:t>
      </w:r>
      <w:hyperlink r:id="rId462">
        <w:r>
          <w:rPr>
            <w:rStyle w:val="Hyperlink"/>
          </w:rPr>
          <w:t xml:space="preserve">https://www.st.com/en/automotive-analog-and-power/l99h02.html</w:t>
        </w:r>
      </w:hyperlink>
      <w:r>
        <w:t xml:space="preserve">. Accessed 1 Feb 2024</w:t>
      </w:r>
    </w:p>
    <w:bookmarkEnd w:id="463"/>
    <w:bookmarkStart w:id="465" w:name="ref-LogicDriverBridgeIFX9201SG"/>
    <w:p>
      <w:pPr>
        <w:pStyle w:val="Bibliography"/>
      </w:pPr>
      <w:r>
        <w:t xml:space="preserve">7.</w:t>
      </w:r>
      <w:r>
        <w:t xml:space="preserve"> </w:t>
      </w:r>
      <w:r>
        <w:t xml:space="preserve">	</w:t>
      </w:r>
      <w:r>
        <w:t xml:space="preserve">Technologies I IFX9201SG 6 A H-Bridge.</w:t>
      </w:r>
      <w:r>
        <w:t xml:space="preserve"> </w:t>
      </w:r>
      <w:hyperlink r:id="rId464">
        <w:r>
          <w:rPr>
            <w:rStyle w:val="Hyperlink"/>
          </w:rPr>
          <w:t xml:space="preserve">https://www.infineon.com/dgdl/Infineon-IFX9201SG-DS-v01_01-EN.pdf?fileId=5546d4624cb7f111014d2e8916795dea</w:t>
        </w:r>
      </w:hyperlink>
      <w:r>
        <w:t xml:space="preserve">. Accessed 1 Feb 2024</w:t>
      </w:r>
    </w:p>
    <w:bookmarkEnd w:id="465"/>
    <w:bookmarkStart w:id="467" w:name="ref-LogicDriverBridgeL298"/>
    <w:p>
      <w:pPr>
        <w:pStyle w:val="Bibliography"/>
      </w:pPr>
      <w:r>
        <w:t xml:space="preserve">8.</w:t>
      </w:r>
      <w:r>
        <w:t xml:space="preserve"> </w:t>
      </w:r>
      <w:r>
        <w:t xml:space="preserve">	</w:t>
      </w:r>
      <w:r>
        <w:t xml:space="preserve">Microelectronics S L298 Dual Full Bridge Driver.</w:t>
      </w:r>
      <w:r>
        <w:t xml:space="preserve"> </w:t>
      </w:r>
      <w:hyperlink r:id="rId466">
        <w:r>
          <w:rPr>
            <w:rStyle w:val="Hyperlink"/>
          </w:rPr>
          <w:t xml:space="preserve">https://www.st.com/resource/en/datasheet/l298.pdf</w:t>
        </w:r>
      </w:hyperlink>
      <w:r>
        <w:t xml:space="preserve">. Accessed 1 Feb 2024</w:t>
      </w:r>
    </w:p>
    <w:bookmarkEnd w:id="467"/>
    <w:bookmarkStart w:id="469" w:name="ref-MotorModel"/>
    <w:p>
      <w:pPr>
        <w:pStyle w:val="Bibliography"/>
      </w:pPr>
      <w:r>
        <w:t xml:space="preserve">9.</w:t>
      </w:r>
      <w:r>
        <w:t xml:space="preserve"> </w:t>
      </w:r>
      <w:r>
        <w:t xml:space="preserve">	</w:t>
      </w:r>
      <w:r>
        <w:t xml:space="preserve">precisionmicrodrives Using SPICE To Model DC Motors.</w:t>
      </w:r>
      <w:r>
        <w:t xml:space="preserve"> </w:t>
      </w:r>
      <w:hyperlink r:id="rId468">
        <w:r>
          <w:rPr>
            <w:rStyle w:val="Hyperlink"/>
          </w:rPr>
          <w:t xml:space="preserve">https://www.precisionmicrodrives.com/ab-025</w:t>
        </w:r>
        <w:r>
          <w:rPr>
            <w:rStyle w:val="Hyperlink"/>
          </w:rPr>
          <w:t xml:space="preserve"> </w:t>
        </w:r>
      </w:hyperlink>
      <w:r>
        <w:t xml:space="preserve">. Accessed 19 Jan 2024</w:t>
      </w:r>
    </w:p>
    <w:bookmarkEnd w:id="469"/>
    <w:bookmarkEnd w:id="470"/>
    <w:bookmarkEnd w:id="471"/>
    <w:bookmarkEnd w:id="4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111" Target="media/rId111.png" /><Relationship Type="http://schemas.openxmlformats.org/officeDocument/2006/relationships/image" Id="rId34" Target="media/rId34.svg" /><Relationship Type="http://schemas.openxmlformats.org/officeDocument/2006/relationships/image" Id="rId171" Target="media/rId171.png" /><Relationship Type="http://schemas.openxmlformats.org/officeDocument/2006/relationships/image" Id="rId175" Target="media/rId175.svg" /><Relationship Type="http://schemas.openxmlformats.org/officeDocument/2006/relationships/image" Id="rId180" Target="media/rId180.png" /><Relationship Type="http://schemas.openxmlformats.org/officeDocument/2006/relationships/image" Id="rId184" Target="media/rId184.svg" /><Relationship Type="http://schemas.openxmlformats.org/officeDocument/2006/relationships/image" Id="rId193" Target="media/rId193.svg" /><Relationship Type="http://schemas.openxmlformats.org/officeDocument/2006/relationships/image" Id="rId189" Target="media/rId189.png" /><Relationship Type="http://schemas.openxmlformats.org/officeDocument/2006/relationships/image" Id="rId197" Target="media/rId197.sv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204" Target="media/rId204.png" /><Relationship Type="http://schemas.openxmlformats.org/officeDocument/2006/relationships/image" Id="rId245" Target="media/rId245.png" /><Relationship Type="http://schemas.openxmlformats.org/officeDocument/2006/relationships/image" Id="rId249" Target="media/rId249.svg" /><Relationship Type="http://schemas.openxmlformats.org/officeDocument/2006/relationships/image" Id="rId270" Target="media/rId270.png" /><Relationship Type="http://schemas.openxmlformats.org/officeDocument/2006/relationships/image" Id="rId266" Target="media/rId266.png" /><Relationship Type="http://schemas.openxmlformats.org/officeDocument/2006/relationships/image" Id="rId257" Target="media/rId257.png" /><Relationship Type="http://schemas.openxmlformats.org/officeDocument/2006/relationships/image" Id="rId261" Target="media/rId261.svg" /><Relationship Type="http://schemas.openxmlformats.org/officeDocument/2006/relationships/image" Id="rId274" Target="media/rId274.png" /><Relationship Type="http://schemas.openxmlformats.org/officeDocument/2006/relationships/image" Id="rId278" Target="media/rId278.svg" /><Relationship Type="http://schemas.openxmlformats.org/officeDocument/2006/relationships/image" Id="rId283" Target="media/rId283.png" /><Relationship Type="http://schemas.openxmlformats.org/officeDocument/2006/relationships/image" Id="rId167" Target="media/rId167.png" /><Relationship Type="http://schemas.openxmlformats.org/officeDocument/2006/relationships/image" Id="rId349" Target="media/rId349.png" /><Relationship Type="http://schemas.openxmlformats.org/officeDocument/2006/relationships/image" Id="rId328" Target="media/rId328.png" /><Relationship Type="http://schemas.openxmlformats.org/officeDocument/2006/relationships/image" Id="rId299" Target="media/rId299.png" /><Relationship Type="http://schemas.openxmlformats.org/officeDocument/2006/relationships/image" Id="rId313" Target="media/rId313.png" /><Relationship Type="http://schemas.openxmlformats.org/officeDocument/2006/relationships/image" Id="rId303" Target="media/rId303.png" /><Relationship Type="http://schemas.openxmlformats.org/officeDocument/2006/relationships/image" Id="rId308" Target="media/rId308.png" /><Relationship Type="http://schemas.openxmlformats.org/officeDocument/2006/relationships/image" Id="rId334" Target="media/rId334.png" /><Relationship Type="http://schemas.openxmlformats.org/officeDocument/2006/relationships/image" Id="rId345" Target="media/rId345.png" /><Relationship Type="http://schemas.openxmlformats.org/officeDocument/2006/relationships/image" Id="rId341" Target="media/rId341.png" /><Relationship Type="http://schemas.openxmlformats.org/officeDocument/2006/relationships/image" Id="rId295" Target="media/rId295.png" /><Relationship Type="http://schemas.openxmlformats.org/officeDocument/2006/relationships/image" Id="rId377" Target="media/rId377.png" /><Relationship Type="http://schemas.openxmlformats.org/officeDocument/2006/relationships/image" Id="rId412" Target="media/rId412.png" /><Relationship Type="http://schemas.openxmlformats.org/officeDocument/2006/relationships/image" Id="rId402" Target="media/rId402.png" /><Relationship Type="http://schemas.openxmlformats.org/officeDocument/2006/relationships/image" Id="rId358" Target="media/rId358.png" /><Relationship Type="http://schemas.openxmlformats.org/officeDocument/2006/relationships/image" Id="rId387" Target="media/rId387.png" /><Relationship Type="http://schemas.openxmlformats.org/officeDocument/2006/relationships/image" Id="rId435" Target="media/rId435.png" /><Relationship Type="http://schemas.openxmlformats.org/officeDocument/2006/relationships/image" Id="rId426" Target="media/rId426.png" /><Relationship Type="http://schemas.openxmlformats.org/officeDocument/2006/relationships/image" Id="rId420" Target="media/rId420.png" /><Relationship Type="http://schemas.openxmlformats.org/officeDocument/2006/relationships/image" Id="rId416" Target="media/rId416.png" /><Relationship Type="http://schemas.openxmlformats.org/officeDocument/2006/relationships/image" Id="rId406" Target="media/rId406.png" /><Relationship Type="http://schemas.openxmlformats.org/officeDocument/2006/relationships/image" Id="rId366" Target="media/rId366.png" /><Relationship Type="http://schemas.openxmlformats.org/officeDocument/2006/relationships/image" Id="rId430" Target="media/rId430.png" /><Relationship Type="http://schemas.openxmlformats.org/officeDocument/2006/relationships/image" Id="rId449" Target="media/rId449.png" /><Relationship Type="http://schemas.openxmlformats.org/officeDocument/2006/relationships/image" Id="rId148" Target="media/rId148.svg" /><Relationship Type="http://schemas.openxmlformats.org/officeDocument/2006/relationships/image" Id="rId140" Target="media/rId140.svg" /><Relationship Type="http://schemas.openxmlformats.org/officeDocument/2006/relationships/hyperlink" Id="rId458" Target="https://commons.wikimedia.org/w/index.php?curid=4792919" TargetMode="External" /><Relationship Type="http://schemas.openxmlformats.org/officeDocument/2006/relationships/hyperlink" Id="rId453"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4" Target="https://www.infineon.com/dgdl/Infineon-IFX9201SG-DS-v01_01-EN.pdf?fileId=5546d4624cb7f111014d2e8916795dea" TargetMode="External" /><Relationship Type="http://schemas.openxmlformats.org/officeDocument/2006/relationships/hyperlink" Id="rId460" Target="https://www.infineon.com/dgdl/Infineon-TLE7182EM-DS-v01_01-en.pdf?fileId=db3a30432f5008fe012f5442920c3996" TargetMode="External" /><Relationship Type="http://schemas.openxmlformats.org/officeDocument/2006/relationships/hyperlink" Id="rId468" Target="https://www.precisionmicrodrives.com/ab-025 " TargetMode="External" /><Relationship Type="http://schemas.openxmlformats.org/officeDocument/2006/relationships/hyperlink" Id="rId462" Target="https://www.st.com/en/automotive-analog-and-power/l99h02.html" TargetMode="External" /><Relationship Type="http://schemas.openxmlformats.org/officeDocument/2006/relationships/hyperlink" Id="rId466" Target="https://www.st.com/resource/en/datasheet/l298.pdf" TargetMode="External" /><Relationship Type="http://schemas.openxmlformats.org/officeDocument/2006/relationships/hyperlink" Id="rId456"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58" Target="https://commons.wikimedia.org/w/index.php?curid=4792919" TargetMode="External" /><Relationship Type="http://schemas.openxmlformats.org/officeDocument/2006/relationships/hyperlink" Id="rId453"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4" Target="https://www.infineon.com/dgdl/Infineon-IFX9201SG-DS-v01_01-EN.pdf?fileId=5546d4624cb7f111014d2e8916795dea" TargetMode="External" /><Relationship Type="http://schemas.openxmlformats.org/officeDocument/2006/relationships/hyperlink" Id="rId460" Target="https://www.infineon.com/dgdl/Infineon-TLE7182EM-DS-v01_01-en.pdf?fileId=db3a30432f5008fe012f5442920c3996" TargetMode="External" /><Relationship Type="http://schemas.openxmlformats.org/officeDocument/2006/relationships/hyperlink" Id="rId468" Target="https://www.precisionmicrodrives.com/ab-025 " TargetMode="External" /><Relationship Type="http://schemas.openxmlformats.org/officeDocument/2006/relationships/hyperlink" Id="rId462" Target="https://www.st.com/en/automotive-analog-and-power/l99h02.html" TargetMode="External" /><Relationship Type="http://schemas.openxmlformats.org/officeDocument/2006/relationships/hyperlink" Id="rId466" Target="https://www.st.com/resource/en/datasheet/l298.pdf" TargetMode="External" /><Relationship Type="http://schemas.openxmlformats.org/officeDocument/2006/relationships/hyperlink" Id="rId456"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2025-01-15T10:31:09Z</dcterms:created>
  <dcterms:modified xsi:type="dcterms:W3CDTF">2025-01-15T10:31:09Z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2025-01-15</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