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p>
      <w:pPr>
        <w:pStyle w:val="Date"/>
      </w:pPr>
      <w:r>
        <w:t xml:space="preserve">04.06.23</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sSub>
          <m:e>
            <m:r>
              <m:t>T</m:t>
            </m:r>
          </m:e>
          <m:sub>
            <m:r>
              <m:t>r</m:t>
            </m:r>
            <m:r>
              <m:t>e</m:t>
            </m:r>
            <m:r>
              <m:t>f</m:t>
            </m:r>
          </m:sub>
        </m:sSub>
      </m:oMath>
      <w:r>
        <w:t xml:space="preserve"> </w:t>
      </w:r>
      <w:r>
        <w:t xml:space="preserve">… Referenz Temperatur</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e</m:t>
            </m:r>
            <m:r>
              <m:t>i</m:t>
            </m:r>
            <m:r>
              <m:t>n</m:t>
            </m:r>
          </m:sub>
        </m:sSub>
      </m:oMath>
      <w:r>
        <w:t xml:space="preserve"> </w:t>
      </w:r>
      <w:r>
        <w:t xml:space="preserve">… Einschaltschwelle</w:t>
      </w:r>
    </w:p>
    <w:p>
      <w:pPr>
        <w:pStyle w:val="BodyText"/>
      </w:pPr>
      <m:oMath>
        <m:r>
          <m:t>T</m:t>
        </m:r>
      </m:oMath>
      <w:r>
        <w:t xml:space="preserve"> </w:t>
      </w:r>
      <w:r>
        <w:t xml:space="preserve">…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m:oMath>
        <m:r>
          <m:t>E</m:t>
        </m:r>
      </m:oMath>
      <w:r>
        <w:t xml:space="preserve"> </w:t>
      </w:r>
      <w:r>
        <w:t xml:space="preserve">… Eingang</w:t>
      </w:r>
    </w:p>
    <w:p>
      <w:pPr>
        <w:pStyle w:val="BodyText"/>
      </w:pPr>
      <w:r>
        <w:t xml:space="preserve">Gängige Bezeichnungen der Übertragungsfunktion der einzelnen Blöcke ist wie folgt.</w:t>
      </w:r>
    </w:p>
    <w:p>
      <w:pPr>
        <w:pStyle w:val="BodyText"/>
      </w:pPr>
      <m:oMath>
        <m:r>
          <m:t>M</m:t>
        </m:r>
      </m:oMath>
      <w:r>
        <w:t xml:space="preserve"> </w:t>
      </w:r>
      <w:r>
        <w:t xml:space="preserve">… Übertragungsfunktion des Sensors</w:t>
      </w:r>
    </w:p>
    <w:p>
      <w:pPr>
        <w:pStyle w:val="BodyText"/>
      </w:pPr>
      <m:oMath>
        <m:r>
          <m:t>R</m:t>
        </m:r>
      </m:oMath>
      <w:r>
        <w:t xml:space="preserve"> </w:t>
      </w:r>
      <w:r>
        <w:t xml:space="preserve">… Übertragungsfunktion des Reglers</w:t>
      </w:r>
    </w:p>
    <w:p>
      <w:pPr>
        <w:pStyle w:val="BodyText"/>
      </w:pPr>
      <m:oMath>
        <m:r>
          <m:t>G</m:t>
        </m:r>
      </m:oMath>
      <w:r>
        <w:t xml:space="preserve"> </w:t>
      </w:r>
      <w:r>
        <w:t xml:space="preserve">… Übertragungsfunktion der zu Regelnden Strecke</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r>
          <m:t>C</m:t>
        </m:r>
      </m:oMath>
      <w:r>
        <w:t xml:space="preserve"> </w:t>
      </w:r>
      <w:r>
        <w:t xml:space="preserve">… Kapazität</w:t>
      </w:r>
    </w:p>
    <w:p>
      <w:pPr>
        <w:pStyle w:val="BodyText"/>
      </w:pPr>
      <m:oMath>
        <m:r>
          <m:t>t</m:t>
        </m:r>
      </m:oMath>
      <w:r>
        <w:t xml:space="preserve"> </w:t>
      </w:r>
      <w:r>
        <w:t xml:space="preserve">… Zeit</w:t>
      </w:r>
    </w:p>
    <w:p>
      <w:pPr>
        <w:pStyle w:val="BodyText"/>
      </w:pPr>
      <m:oMath>
        <m:sSub>
          <m:e>
            <m:r>
              <m:t>R</m:t>
            </m:r>
          </m:e>
          <m:sub>
            <m:r>
              <m:t>o</m:t>
            </m:r>
            <m:r>
              <m:t>h</m:t>
            </m:r>
            <m:r>
              <m:t>m</m:t>
            </m:r>
          </m:sub>
        </m:sSub>
      </m:oMath>
      <w:r>
        <w:t xml:space="preserve"> </w:t>
      </w:r>
      <w:r>
        <w:t xml:space="preserve">… Ohmscher Widerstand</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2023-06-04T08:09:39Z</dcterms:created>
  <dcterms:modified xsi:type="dcterms:W3CDTF">2023-06-04T08:09:39Z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04.06.23</vt:lpwstr>
  </property>
  <property fmtid="{D5CDD505-2E9C-101B-9397-08002B2CF9AE}" pid="9" name="download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CC BY</vt:lpwstr>
  </property>
  <property fmtid="{D5CDD505-2E9C-101B-9397-08002B2CF9AE}" pid="15" name="sidebar">
    <vt:lpwstr/>
  </property>
  <property fmtid="{D5CDD505-2E9C-101B-9397-08002B2CF9AE}" pid="16" name="toc-title">
    <vt:lpwstr>Inhaltsverzeichnis</vt:lpwstr>
  </property>
  <property fmtid="{D5CDD505-2E9C-101B-9397-08002B2CF9AE}" pid="17" name="website">
    <vt:lpwstr/>
  </property>
</Properties>
</file>