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1BC5" w14:textId="77777777" w:rsidR="00C7664F" w:rsidRPr="00C7664F" w:rsidRDefault="00C7664F" w:rsidP="00C7664F">
      <w:pPr>
        <w:spacing w:before="3000"/>
        <w:rPr>
          <w:rFonts w:ascii="思源黑体 CN Heavy" w:eastAsia="思源黑体 CN Heavy" w:hAnsi="思源黑体 CN Heavy" w:hint="eastAsia"/>
          <w:sz w:val="44"/>
          <w:szCs w:val="44"/>
        </w:rPr>
      </w:pPr>
      <w:r w:rsidRPr="00C7664F">
        <w:rPr>
          <w:rFonts w:ascii="思源黑体 CN Heavy" w:eastAsia="思源黑体 CN Heavy" w:hAnsi="思源黑体 CN Heavy" w:hint="eastAsia"/>
          <w:sz w:val="44"/>
          <w:szCs w:val="44"/>
        </w:rPr>
        <w:t>数据治理与自动化合规体系建设方案</w:t>
      </w:r>
    </w:p>
    <w:p w14:paraId="785F5D56" w14:textId="77777777" w:rsidR="00C7664F" w:rsidRPr="00C7664F" w:rsidRDefault="00C7664F" w:rsidP="00C7664F">
      <w:pPr>
        <w:spacing w:after="1440"/>
        <w:rPr>
          <w:rFonts w:ascii="Barlow Condensed ExtraBold" w:hAnsi="Barlow Condensed ExtraBold"/>
          <w:sz w:val="44"/>
          <w:szCs w:val="44"/>
        </w:rPr>
      </w:pPr>
      <w:r w:rsidRPr="00C7664F">
        <w:rPr>
          <w:rFonts w:ascii="Barlow Condensed ExtraBold" w:hAnsi="Barlow Condensed ExtraBold"/>
          <w:sz w:val="44"/>
          <w:szCs w:val="44"/>
        </w:rPr>
        <w:t>DATA GOVERNANCE &amp; AUTOMATED COMPLIANCE PROPOSAL</w:t>
      </w:r>
    </w:p>
    <w:p w14:paraId="46ABCCC8" w14:textId="77777777" w:rsidR="00C7664F" w:rsidRDefault="00C7664F" w:rsidP="00C7664F"/>
    <w:p w14:paraId="47DBDDDC" w14:textId="78D6EC4F" w:rsidR="00C7664F" w:rsidRPr="00C7664F" w:rsidRDefault="00C7664F" w:rsidP="00C7664F">
      <w:pPr>
        <w:rPr>
          <w:color w:val="697077" w:themeColor="text2"/>
        </w:rPr>
      </w:pPr>
      <w:r w:rsidRPr="00C7664F">
        <w:rPr>
          <w:rFonts w:hint="eastAsia"/>
          <w:color w:val="697077" w:themeColor="text2"/>
        </w:rPr>
        <w:t>针对在华国际金融机构的定制化解决方案</w:t>
      </w:r>
    </w:p>
    <w:p w14:paraId="5F9F0E33" w14:textId="212079F1" w:rsidR="00C7664F" w:rsidRDefault="00C7664F" w:rsidP="00C7664F">
      <w:pPr>
        <w:spacing w:after="3000"/>
        <w:rPr>
          <w:rFonts w:hint="eastAsia"/>
        </w:rPr>
      </w:pPr>
      <w:r w:rsidRPr="00C7664F">
        <w:rPr>
          <w:color w:val="697077" w:themeColor="text2"/>
        </w:rPr>
        <w:t>Tailored Solutions for International Financial Institutions in China</w:t>
      </w:r>
    </w:p>
    <w:p w14:paraId="58DB2C85" w14:textId="77777777" w:rsidR="00C7664F" w:rsidRDefault="00C7664F" w:rsidP="00C7664F"/>
    <w:p w14:paraId="6B47BDDC" w14:textId="77777777" w:rsidR="00C7664F" w:rsidRDefault="00C7664F" w:rsidP="00C7664F">
      <w:pPr>
        <w:rPr>
          <w:rFonts w:hint="eastAsia"/>
        </w:rPr>
      </w:pPr>
      <w:r>
        <w:rPr>
          <w:rFonts w:hint="eastAsia"/>
        </w:rPr>
        <w:t>项目执行人：</w:t>
      </w:r>
      <w:r>
        <w:rPr>
          <w:rFonts w:hint="eastAsia"/>
        </w:rPr>
        <w:t xml:space="preserve"> Minh Nhung</w:t>
      </w:r>
    </w:p>
    <w:p w14:paraId="3A4B8F11" w14:textId="77777777" w:rsidR="00C7664F" w:rsidRDefault="00C7664F" w:rsidP="00C7664F">
      <w:pPr>
        <w:rPr>
          <w:rFonts w:hint="eastAsia"/>
        </w:rPr>
      </w:pPr>
      <w:r>
        <w:rPr>
          <w:rFonts w:hint="eastAsia"/>
        </w:rPr>
        <w:t>发布日期：</w:t>
      </w:r>
      <w:r>
        <w:rPr>
          <w:rFonts w:hint="eastAsia"/>
        </w:rPr>
        <w:t xml:space="preserve"> 2026</w:t>
      </w:r>
      <w:r>
        <w:rPr>
          <w:rFonts w:hint="eastAsia"/>
        </w:rPr>
        <w:t>年</w:t>
      </w:r>
      <w:r>
        <w:rPr>
          <w:rFonts w:hint="eastAsia"/>
        </w:rPr>
        <w:t xml:space="preserve"> 2</w:t>
      </w:r>
      <w:r>
        <w:rPr>
          <w:rFonts w:hint="eastAsia"/>
        </w:rPr>
        <w:t>月</w:t>
      </w:r>
    </w:p>
    <w:p w14:paraId="026C488D" w14:textId="3445E7B5" w:rsidR="00C7664F" w:rsidRDefault="00C7664F" w:rsidP="00C7664F">
      <w:r>
        <w:rPr>
          <w:rFonts w:hint="eastAsia"/>
        </w:rPr>
        <w:t>联系方式：</w:t>
      </w:r>
      <w:r>
        <w:rPr>
          <w:rFonts w:hint="eastAsia"/>
        </w:rPr>
        <w:t xml:space="preserve"> </w:t>
      </w:r>
      <w:hyperlink r:id="rId8" w:history="1">
        <w:r w:rsidRPr="00C02B14">
          <w:rPr>
            <w:rStyle w:val="Hyperlink"/>
            <w:rFonts w:hint="eastAsia"/>
          </w:rPr>
          <w:t>support@synkarta.com</w:t>
        </w:r>
      </w:hyperlink>
    </w:p>
    <w:p w14:paraId="1C3CD943" w14:textId="77777777" w:rsidR="00C7664F" w:rsidRDefault="00C7664F">
      <w:pPr>
        <w:spacing w:after="160" w:line="278" w:lineRule="auto"/>
        <w:jc w:val="left"/>
      </w:pPr>
      <w:r>
        <w:br w:type="page"/>
      </w:r>
    </w:p>
    <w:p w14:paraId="1C08E86D" w14:textId="0342D96F" w:rsidR="00A47A2C" w:rsidRDefault="00CB62B8" w:rsidP="00D464CB">
      <w:pPr>
        <w:pStyle w:val="Heading1"/>
        <w:numPr>
          <w:ilvl w:val="0"/>
          <w:numId w:val="1"/>
        </w:numPr>
      </w:pPr>
      <w:r w:rsidRPr="00CB62B8">
        <w:rPr>
          <w:rFonts w:hint="eastAsia"/>
        </w:rPr>
        <w:lastRenderedPageBreak/>
        <w:t>执行摘要</w:t>
      </w:r>
      <w:r w:rsidRPr="00CB62B8">
        <w:rPr>
          <w:rFonts w:hint="eastAsia"/>
        </w:rPr>
        <w:t xml:space="preserve"> (EXECUTIVE SUMMARY)</w:t>
      </w:r>
    </w:p>
    <w:p w14:paraId="1CE540F0" w14:textId="4141F849" w:rsidR="00D464CB" w:rsidRDefault="00D464CB" w:rsidP="00D464CB">
      <w:r w:rsidRPr="00D464CB">
        <w:rPr>
          <w:rFonts w:hint="eastAsia"/>
        </w:rPr>
        <w:t>在当前的中国监管环境下，国际金融机构面临着严峻的数据主权与本地合规挑战。</w:t>
      </w:r>
      <w:r w:rsidRPr="00D464CB">
        <w:rPr>
          <w:rFonts w:hint="eastAsia"/>
        </w:rPr>
        <w:t xml:space="preserve">Synkarta </w:t>
      </w:r>
      <w:r w:rsidRPr="00D464CB">
        <w:rPr>
          <w:rFonts w:hint="eastAsia"/>
        </w:rPr>
        <w:t>致力于衔接国际标准与本地监管要求，通过自动化的数据治理体系，为金融机构提供从底层加密到高层决策报告的全栈咨询服务。我们的核心理念是：数据洞察，合规护航</w:t>
      </w:r>
      <w:r w:rsidRPr="00D464CB">
        <w:rPr>
          <w:rFonts w:hint="eastAsia"/>
        </w:rPr>
        <w:t xml:space="preserve"> (Data Insight. Compliance Oversight</w:t>
      </w:r>
      <w:proofErr w:type="gramStart"/>
      <w:r w:rsidRPr="00D464CB">
        <w:rPr>
          <w:rFonts w:hint="eastAsia"/>
        </w:rPr>
        <w:t>.)</w:t>
      </w:r>
      <w:r w:rsidRPr="00D464CB">
        <w:rPr>
          <w:rFonts w:hint="eastAsia"/>
        </w:rPr>
        <w:t>。</w:t>
      </w:r>
      <w:proofErr w:type="gramEnd"/>
    </w:p>
    <w:p w14:paraId="0FB3C2C8" w14:textId="581271EC" w:rsidR="001919FB" w:rsidRDefault="001919FB" w:rsidP="001919FB">
      <w:pPr>
        <w:pStyle w:val="Heading1"/>
        <w:numPr>
          <w:ilvl w:val="0"/>
          <w:numId w:val="1"/>
        </w:numPr>
      </w:pPr>
      <w:r w:rsidRPr="001919FB">
        <w:rPr>
          <w:rFonts w:hint="eastAsia"/>
        </w:rPr>
        <w:t>核心咨询领域</w:t>
      </w:r>
      <w:r w:rsidRPr="001919FB">
        <w:rPr>
          <w:rFonts w:hint="eastAsia"/>
        </w:rPr>
        <w:t xml:space="preserve"> (CORE ADVISORY)</w:t>
      </w:r>
    </w:p>
    <w:p w14:paraId="17C8BEA6" w14:textId="77777777" w:rsidR="001919FB" w:rsidRDefault="001919FB" w:rsidP="001919FB">
      <w:pPr>
        <w:pStyle w:val="Heading2"/>
        <w:rPr>
          <w:sz w:val="27"/>
          <w:szCs w:val="27"/>
        </w:rPr>
      </w:pPr>
      <w:r>
        <w:t xml:space="preserve">2.1 </w:t>
      </w:r>
      <w:r>
        <w:t>自动化治理工作流</w:t>
      </w:r>
      <w:r>
        <w:t xml:space="preserve"> (KNIME Automation)</w:t>
      </w:r>
    </w:p>
    <w:p w14:paraId="0B46A3F9" w14:textId="77777777" w:rsidR="001919FB" w:rsidRDefault="001919FB" w:rsidP="001919FB">
      <w:r>
        <w:rPr>
          <w:rFonts w:hint="eastAsia"/>
        </w:rPr>
        <w:t>利用</w:t>
      </w:r>
      <w:r>
        <w:t xml:space="preserve"> </w:t>
      </w:r>
      <w:r>
        <w:rPr>
          <w:b/>
          <w:bCs/>
        </w:rPr>
        <w:t>KNIME Analytics Platform</w:t>
      </w:r>
      <w:r>
        <w:t xml:space="preserve"> </w:t>
      </w:r>
      <w:r>
        <w:rPr>
          <w:rFonts w:hint="eastAsia"/>
        </w:rPr>
        <w:t>构建端到端的自动化治理流程。通过无代码</w:t>
      </w:r>
      <w:r>
        <w:t>/</w:t>
      </w:r>
      <w:r>
        <w:rPr>
          <w:rFonts w:hint="eastAsia"/>
        </w:rPr>
        <w:t>低代码工具，实现合规数据采集、清洗及风险预警的自动化，大幅降低人工干预带来的操作风险。</w:t>
      </w:r>
    </w:p>
    <w:p w14:paraId="300D4DBE" w14:textId="77777777" w:rsidR="001919FB" w:rsidRDefault="001919FB" w:rsidP="001919FB">
      <w:pPr>
        <w:pStyle w:val="Heading2"/>
      </w:pPr>
      <w:r>
        <w:t xml:space="preserve">2.2 </w:t>
      </w:r>
      <w:r>
        <w:t>国密合规实施</w:t>
      </w:r>
      <w:r>
        <w:t xml:space="preserve"> (SM4 Compliance)</w:t>
      </w:r>
    </w:p>
    <w:p w14:paraId="096C340A" w14:textId="77777777" w:rsidR="001919FB" w:rsidRDefault="001919FB" w:rsidP="001919FB">
      <w:r>
        <w:rPr>
          <w:rFonts w:hint="eastAsia"/>
        </w:rPr>
        <w:t>针对跨境数据传输的特殊要求，实施</w:t>
      </w:r>
      <w:r>
        <w:t xml:space="preserve"> </w:t>
      </w:r>
      <w:r>
        <w:rPr>
          <w:b/>
          <w:bCs/>
        </w:rPr>
        <w:t xml:space="preserve">SM4 </w:t>
      </w:r>
      <w:r>
        <w:rPr>
          <w:rFonts w:hint="eastAsia"/>
          <w:b/>
          <w:bCs/>
        </w:rPr>
        <w:t>国密算法</w:t>
      </w:r>
      <w:r>
        <w:t xml:space="preserve"> </w:t>
      </w:r>
      <w:r>
        <w:rPr>
          <w:rFonts w:hint="eastAsia"/>
        </w:rPr>
        <w:t>及其配套的加密协议。确保敏感金融数据在本地处理及出境过程中，完全符合中国数据安全法与个人信息保护法的要求。</w:t>
      </w:r>
    </w:p>
    <w:p w14:paraId="17151816" w14:textId="77777777" w:rsidR="001919FB" w:rsidRDefault="001919FB" w:rsidP="001919FB">
      <w:pPr>
        <w:pStyle w:val="Heading2"/>
      </w:pPr>
      <w:r>
        <w:t xml:space="preserve">2.3 </w:t>
      </w:r>
      <w:r>
        <w:t>商业通信标准视觉化</w:t>
      </w:r>
      <w:r>
        <w:t xml:space="preserve"> (IBCS® Advisory)</w:t>
      </w:r>
    </w:p>
    <w:p w14:paraId="1F49BD2A" w14:textId="77777777" w:rsidR="001919FB" w:rsidRDefault="001919FB" w:rsidP="001919FB">
      <w:r>
        <w:rPr>
          <w:rFonts w:hint="eastAsia"/>
        </w:rPr>
        <w:t>应用</w:t>
      </w:r>
      <w:r>
        <w:t xml:space="preserve"> </w:t>
      </w:r>
      <w:r>
        <w:rPr>
          <w:b/>
          <w:bCs/>
        </w:rPr>
        <w:t>IBCS (</w:t>
      </w:r>
      <w:r>
        <w:rPr>
          <w:rFonts w:hint="eastAsia"/>
          <w:b/>
          <w:bCs/>
        </w:rPr>
        <w:t>国际</w:t>
      </w:r>
      <w:r w:rsidRPr="001919FB">
        <w:rPr>
          <w:rFonts w:hint="eastAsia"/>
          <w:b/>
          <w:bCs/>
          <w:color w:val="EE0000"/>
        </w:rPr>
        <w:t>商业通信</w:t>
      </w:r>
      <w:r>
        <w:rPr>
          <w:rFonts w:hint="eastAsia"/>
          <w:b/>
          <w:bCs/>
        </w:rPr>
        <w:t>标准</w:t>
      </w:r>
      <w:r>
        <w:rPr>
          <w:b/>
          <w:bCs/>
        </w:rPr>
        <w:t>)</w:t>
      </w:r>
      <w:r>
        <w:t xml:space="preserve"> </w:t>
      </w:r>
      <w:r>
        <w:rPr>
          <w:rFonts w:hint="eastAsia"/>
        </w:rPr>
        <w:t>重新定义财务与风控报告。通过高度标准化的视觉语言，帮助高管层在复杂的监管数据中迅速捕捉核心指标，提升决策效率。</w:t>
      </w:r>
    </w:p>
    <w:p w14:paraId="119B508E" w14:textId="77777777" w:rsidR="001919FB" w:rsidRPr="001919FB" w:rsidRDefault="001919FB" w:rsidP="001919FB"/>
    <w:p w14:paraId="567D501D" w14:textId="46521011" w:rsidR="001919FB" w:rsidRPr="001919FB" w:rsidRDefault="001919FB" w:rsidP="001919FB">
      <w:pPr>
        <w:pStyle w:val="Heading1"/>
        <w:numPr>
          <w:ilvl w:val="0"/>
          <w:numId w:val="1"/>
        </w:numPr>
      </w:pPr>
      <w:r w:rsidRPr="001919FB">
        <w:t>交付物与价值说明</w:t>
      </w:r>
      <w:r w:rsidRPr="001919FB">
        <w:t xml:space="preserve"> (DELIVERABLES)</w:t>
      </w:r>
    </w:p>
    <w:p w14:paraId="207748AC" w14:textId="77777777" w:rsidR="001919FB" w:rsidRPr="001919FB" w:rsidRDefault="001919FB" w:rsidP="001919FB">
      <w:pPr>
        <w:pStyle w:val="ListParagraph"/>
        <w:numPr>
          <w:ilvl w:val="0"/>
          <w:numId w:val="3"/>
        </w:numPr>
      </w:pPr>
      <w:r w:rsidRPr="001919FB">
        <w:rPr>
          <w:b/>
          <w:bCs/>
        </w:rPr>
        <w:t>数据合规治理框架</w:t>
      </w:r>
      <w:r w:rsidRPr="001919FB">
        <w:t>：针对</w:t>
      </w:r>
      <w:r w:rsidRPr="001919FB">
        <w:rPr>
          <w:color w:val="EE0000"/>
        </w:rPr>
        <w:t>北京</w:t>
      </w:r>
      <w:r w:rsidRPr="001919FB">
        <w:t>监管环境定制的合规手册与操作指引。</w:t>
      </w:r>
    </w:p>
    <w:p w14:paraId="1B2BA3B0" w14:textId="77777777" w:rsidR="001919FB" w:rsidRPr="001919FB" w:rsidRDefault="001919FB" w:rsidP="001919FB">
      <w:pPr>
        <w:pStyle w:val="ListParagraph"/>
        <w:numPr>
          <w:ilvl w:val="0"/>
          <w:numId w:val="3"/>
        </w:numPr>
      </w:pPr>
      <w:r w:rsidRPr="001919FB">
        <w:rPr>
          <w:b/>
          <w:bCs/>
        </w:rPr>
        <w:t xml:space="preserve">KNIME </w:t>
      </w:r>
      <w:r w:rsidRPr="001919FB">
        <w:rPr>
          <w:b/>
          <w:bCs/>
        </w:rPr>
        <w:t>自动化节点库</w:t>
      </w:r>
      <w:r w:rsidRPr="001919FB">
        <w:t>：预置</w:t>
      </w:r>
      <w:r w:rsidRPr="001919FB">
        <w:t xml:space="preserve"> SM4 </w:t>
      </w:r>
      <w:r w:rsidRPr="001919FB">
        <w:t>加密、异常值检测及审计追踪的自动化工作流。</w:t>
      </w:r>
    </w:p>
    <w:p w14:paraId="7E765C20" w14:textId="3DC4B6D8" w:rsidR="0058477D" w:rsidRDefault="001919FB" w:rsidP="001A0B72">
      <w:pPr>
        <w:pStyle w:val="ListParagraph"/>
        <w:numPr>
          <w:ilvl w:val="0"/>
          <w:numId w:val="3"/>
        </w:numPr>
        <w:spacing w:after="160" w:line="278" w:lineRule="auto"/>
        <w:jc w:val="left"/>
      </w:pPr>
      <w:r w:rsidRPr="001A0B72">
        <w:rPr>
          <w:b/>
          <w:bCs/>
        </w:rPr>
        <w:t xml:space="preserve">IBCS </w:t>
      </w:r>
      <w:r w:rsidRPr="001A0B72">
        <w:rPr>
          <w:b/>
          <w:bCs/>
        </w:rPr>
        <w:t>认证驾驶舱</w:t>
      </w:r>
      <w:r w:rsidRPr="001919FB">
        <w:t>：基于高标准商业通信语言的高级</w:t>
      </w:r>
      <w:r w:rsidRPr="001919FB">
        <w:t xml:space="preserve"> BI </w:t>
      </w:r>
      <w:r w:rsidRPr="001919FB">
        <w:t>报表体系。</w:t>
      </w:r>
    </w:p>
    <w:p w14:paraId="40D62E0F" w14:textId="77777777" w:rsidR="001A0B72" w:rsidRDefault="001A0B72" w:rsidP="0058477D">
      <w:pPr>
        <w:rPr>
          <w:b/>
          <w:bCs/>
        </w:rPr>
        <w:sectPr w:rsidR="001A0B72" w:rsidSect="00F66181">
          <w:headerReference w:type="default" r:id="rId9"/>
          <w:pgSz w:w="11906" w:h="16838" w:code="9"/>
          <w:pgMar w:top="1440" w:right="1080" w:bottom="1440" w:left="1080" w:header="720" w:footer="720" w:gutter="0"/>
          <w:cols w:space="720"/>
          <w:docGrid w:linePitch="360"/>
        </w:sectPr>
      </w:pPr>
    </w:p>
    <w:p w14:paraId="2DD24F31" w14:textId="7834D820" w:rsidR="00BD77F6" w:rsidRPr="0058477D" w:rsidRDefault="00BD77F6" w:rsidP="00BD77F6">
      <w:pPr>
        <w:spacing w:before="5000"/>
        <w:rPr>
          <w:b/>
          <w:bCs/>
          <w:sz w:val="24"/>
          <w:szCs w:val="24"/>
        </w:rPr>
      </w:pPr>
      <w:r w:rsidRPr="00BD77F6"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179DEA1" wp14:editId="14A2E2BF">
                <wp:simplePos x="0" y="0"/>
                <wp:positionH relativeFrom="column">
                  <wp:posOffset>-997585</wp:posOffset>
                </wp:positionH>
                <wp:positionV relativeFrom="paragraph">
                  <wp:posOffset>-914210</wp:posOffset>
                </wp:positionV>
                <wp:extent cx="8324850" cy="5476875"/>
                <wp:effectExtent l="0" t="0" r="0" b="9525"/>
                <wp:wrapNone/>
                <wp:docPr id="7054010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4850" cy="5476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19F33" id="Rectangle 2" o:spid="_x0000_s1026" style="position:absolute;margin-left:-78.55pt;margin-top:-1in;width:655.5pt;height:43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" fillcolor="#ffc700 [3204]" stroked="f" strokeweight="1pt"/>
            </w:pict>
          </mc:Fallback>
        </mc:AlternateContent>
      </w:r>
      <w:r w:rsidR="0058477D" w:rsidRPr="0058477D">
        <w:rPr>
          <w:b/>
          <w:bCs/>
          <w:sz w:val="24"/>
          <w:szCs w:val="24"/>
        </w:rPr>
        <w:t>DATA INSIGHT.</w:t>
      </w:r>
      <w:r w:rsidR="001A0B72" w:rsidRPr="00BD77F6">
        <w:rPr>
          <w:rFonts w:hint="eastAsia"/>
          <w:b/>
          <w:bCs/>
          <w:sz w:val="24"/>
          <w:szCs w:val="24"/>
        </w:rPr>
        <w:t xml:space="preserve"> </w:t>
      </w:r>
      <w:r w:rsidR="0058477D" w:rsidRPr="0058477D">
        <w:rPr>
          <w:b/>
          <w:bCs/>
          <w:sz w:val="24"/>
          <w:szCs w:val="24"/>
        </w:rPr>
        <w:t>COMPLIANCE OVERSIGHT.</w:t>
      </w:r>
    </w:p>
    <w:p w14:paraId="6BA06D80" w14:textId="1E971249" w:rsidR="0058477D" w:rsidRPr="0058477D" w:rsidRDefault="0058477D" w:rsidP="00BD77F6">
      <w:pPr>
        <w:spacing w:before="240"/>
      </w:pPr>
      <w:r w:rsidRPr="0058477D">
        <w:t xml:space="preserve">Synkarta </w:t>
      </w:r>
      <w:r w:rsidRPr="0058477D">
        <w:t>位于中国北京，是一家专注于为全球金融行业提供战略数据咨询服务的专业机构。我们凭借在</w:t>
      </w:r>
      <w:r w:rsidRPr="0058477D">
        <w:t xml:space="preserve"> KNIME </w:t>
      </w:r>
      <w:r w:rsidRPr="0058477D">
        <w:t>自动化、</w:t>
      </w:r>
      <w:r w:rsidRPr="0058477D">
        <w:t xml:space="preserve">IBCS </w:t>
      </w:r>
      <w:r w:rsidRPr="0058477D">
        <w:t>标准以及本地化加密技术方面的独特专长，助力客户在复杂的合规浪潮中稳健前行。</w:t>
      </w:r>
    </w:p>
    <w:p w14:paraId="73A2761C" w14:textId="77777777" w:rsidR="0058477D" w:rsidRDefault="0058477D" w:rsidP="0058477D">
      <w:pPr>
        <w:rPr>
          <w:b/>
          <w:bCs/>
        </w:rPr>
      </w:pPr>
    </w:p>
    <w:p w14:paraId="4DEC51FF" w14:textId="77777777" w:rsidR="0058477D" w:rsidRDefault="0058477D" w:rsidP="00BD77F6">
      <w:pPr>
        <w:spacing w:before="6600"/>
      </w:pPr>
      <w:r w:rsidRPr="0058477D">
        <w:rPr>
          <w:b/>
          <w:bCs/>
        </w:rPr>
        <w:t>SYNKARTA ADVISORY</w:t>
      </w:r>
    </w:p>
    <w:p w14:paraId="2EC774F4" w14:textId="01ECF3B9" w:rsidR="00CF66B9" w:rsidRPr="00CF66B9" w:rsidRDefault="0058477D" w:rsidP="00D325EF">
      <w:r w:rsidRPr="0058477D">
        <w:t>Strategic Data Governance | KNIME Automation | IBCS® Certified Solutions</w:t>
      </w:r>
    </w:p>
    <w:sectPr w:rsidR="00CF66B9" w:rsidRPr="00CF66B9" w:rsidSect="00F66181">
      <w:headerReference w:type="default" r:id="rId10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1023B" w14:textId="77777777" w:rsidR="007A150A" w:rsidRDefault="007A150A" w:rsidP="00F66181">
      <w:pPr>
        <w:spacing w:line="240" w:lineRule="auto"/>
      </w:pPr>
      <w:r>
        <w:separator/>
      </w:r>
    </w:p>
  </w:endnote>
  <w:endnote w:type="continuationSeparator" w:id="0">
    <w:p w14:paraId="5DF9917B" w14:textId="77777777" w:rsidR="007A150A" w:rsidRDefault="007A150A" w:rsidP="00F661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rlow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思源黑体 CN">
    <w:panose1 w:val="020B0500000000000000"/>
    <w:charset w:val="86"/>
    <w:family w:val="swiss"/>
    <w:notTrueType/>
    <w:pitch w:val="variable"/>
    <w:sig w:usb0="20000287" w:usb1="2ADF3C10" w:usb2="00000016" w:usb3="00000000" w:csb0="00060107" w:csb1="00000000"/>
  </w:font>
  <w:font w:name="Barlow Condensed">
    <w:panose1 w:val="00000506000000000000"/>
    <w:charset w:val="00"/>
    <w:family w:val="auto"/>
    <w:pitch w:val="variable"/>
    <w:sig w:usb0="20000007" w:usb1="00000000" w:usb2="00000000" w:usb3="00000000" w:csb0="00000193" w:csb1="00000000"/>
  </w:font>
  <w:font w:name="思源黑体 CN Heavy">
    <w:panose1 w:val="020B0A00000000000000"/>
    <w:charset w:val="86"/>
    <w:family w:val="swiss"/>
    <w:notTrueType/>
    <w:pitch w:val="variable"/>
    <w:sig w:usb0="20000287" w:usb1="2ADF3C10" w:usb2="00000016" w:usb3="00000000" w:csb0="00060107" w:csb1="00000000"/>
  </w:font>
  <w:font w:name="Barlow Condensed ExtraBold">
    <w:panose1 w:val="00000906000000000000"/>
    <w:charset w:val="00"/>
    <w:family w:val="auto"/>
    <w:pitch w:val="variable"/>
    <w:sig w:usb0="20000007" w:usb1="00000000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A37BF" w14:textId="77777777" w:rsidR="007A150A" w:rsidRDefault="007A150A" w:rsidP="00F66181">
      <w:pPr>
        <w:spacing w:line="240" w:lineRule="auto"/>
      </w:pPr>
      <w:r>
        <w:separator/>
      </w:r>
    </w:p>
  </w:footnote>
  <w:footnote w:type="continuationSeparator" w:id="0">
    <w:p w14:paraId="506D1CF8" w14:textId="77777777" w:rsidR="007A150A" w:rsidRDefault="007A150A" w:rsidP="00F661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54" w:type="dxa"/>
      <w:tblInd w:w="-9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8"/>
      <w:gridCol w:w="5086"/>
    </w:tblGrid>
    <w:tr w:rsidR="00C7664F" w14:paraId="0068F2DC" w14:textId="77777777" w:rsidTr="00595814">
      <w:tc>
        <w:tcPr>
          <w:tcW w:w="4868" w:type="dxa"/>
          <w:vAlign w:val="center"/>
        </w:tcPr>
        <w:p w14:paraId="0E247F11" w14:textId="0F2B49A4" w:rsidR="00C7664F" w:rsidRDefault="00C7664F" w:rsidP="00595814">
          <w:pPr>
            <w:pStyle w:val="Header"/>
            <w:ind w:left="-16"/>
            <w:jc w:val="left"/>
          </w:pPr>
          <w:r w:rsidRPr="00F66181">
            <w:rPr>
              <w:rFonts w:asciiTheme="majorHAnsi" w:hAnsiTheme="majorHAnsi"/>
              <w:b/>
              <w:bCs/>
              <w:sz w:val="24"/>
              <w:szCs w:val="24"/>
            </w:rPr>
            <w:t>SYN</w:t>
          </w:r>
          <w:r w:rsidRPr="00F66181">
            <w:rPr>
              <w:rFonts w:asciiTheme="majorHAnsi" w:hAnsiTheme="majorHAnsi"/>
              <w:b/>
              <w:bCs/>
              <w:color w:val="FFC000"/>
              <w:sz w:val="24"/>
              <w:szCs w:val="24"/>
            </w:rPr>
            <w:t>KARTA</w:t>
          </w:r>
        </w:p>
      </w:tc>
      <w:tc>
        <w:tcPr>
          <w:tcW w:w="5086" w:type="dxa"/>
          <w:vAlign w:val="center"/>
        </w:tcPr>
        <w:p w14:paraId="292B625B" w14:textId="1500DFD6" w:rsidR="00C7664F" w:rsidRDefault="00C7664F" w:rsidP="00595814">
          <w:pPr>
            <w:pStyle w:val="Header"/>
            <w:jc w:val="right"/>
          </w:pPr>
          <w:r w:rsidRPr="00F66181">
            <w:rPr>
              <w:rFonts w:asciiTheme="majorHAnsi" w:hAnsiTheme="majorHAnsi"/>
            </w:rPr>
            <w:t>DATA INSIGHT. COMPLIANCE OVERSIGHT.</w:t>
          </w:r>
        </w:p>
      </w:tc>
    </w:tr>
  </w:tbl>
  <w:p w14:paraId="5A24C5BC" w14:textId="343D0071" w:rsidR="00F66181" w:rsidRPr="00C7664F" w:rsidRDefault="00F66181" w:rsidP="00C766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B4A09" w14:textId="77777777" w:rsidR="001A0B72" w:rsidRPr="00C7664F" w:rsidRDefault="001A0B72" w:rsidP="00C766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C314E"/>
    <w:multiLevelType w:val="hybridMultilevel"/>
    <w:tmpl w:val="549AF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21FE0"/>
    <w:multiLevelType w:val="multilevel"/>
    <w:tmpl w:val="0F9E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C181B"/>
    <w:multiLevelType w:val="hybridMultilevel"/>
    <w:tmpl w:val="A3B85E8C"/>
    <w:lvl w:ilvl="0" w:tplc="A71EAED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21415793">
    <w:abstractNumId w:val="2"/>
  </w:num>
  <w:num w:numId="2" w16cid:durableId="989866363">
    <w:abstractNumId w:val="1"/>
  </w:num>
  <w:num w:numId="3" w16cid:durableId="109343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14"/>
    <w:rsid w:val="00083E51"/>
    <w:rsid w:val="000C535F"/>
    <w:rsid w:val="00143014"/>
    <w:rsid w:val="001919FB"/>
    <w:rsid w:val="001A0B72"/>
    <w:rsid w:val="001F5E80"/>
    <w:rsid w:val="002C0317"/>
    <w:rsid w:val="00317399"/>
    <w:rsid w:val="00384394"/>
    <w:rsid w:val="00424495"/>
    <w:rsid w:val="004916BE"/>
    <w:rsid w:val="00515196"/>
    <w:rsid w:val="0058477D"/>
    <w:rsid w:val="00595814"/>
    <w:rsid w:val="006C4378"/>
    <w:rsid w:val="006E6124"/>
    <w:rsid w:val="00774E68"/>
    <w:rsid w:val="007A150A"/>
    <w:rsid w:val="00915930"/>
    <w:rsid w:val="009811A9"/>
    <w:rsid w:val="00A23195"/>
    <w:rsid w:val="00A47A2C"/>
    <w:rsid w:val="00B67B6B"/>
    <w:rsid w:val="00B9147C"/>
    <w:rsid w:val="00BD77F6"/>
    <w:rsid w:val="00C0228E"/>
    <w:rsid w:val="00C7664F"/>
    <w:rsid w:val="00CB62B8"/>
    <w:rsid w:val="00CF66B9"/>
    <w:rsid w:val="00D325EF"/>
    <w:rsid w:val="00D464CB"/>
    <w:rsid w:val="00D66992"/>
    <w:rsid w:val="00DD1589"/>
    <w:rsid w:val="00F66181"/>
    <w:rsid w:val="00F7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7AC40"/>
  <w15:chartTrackingRefBased/>
  <w15:docId w15:val="{CFD8BB90-08BD-481C-8BF0-D23A129C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5EF"/>
    <w:pPr>
      <w:spacing w:after="0" w:line="276" w:lineRule="auto"/>
      <w:jc w:val="both"/>
    </w:pPr>
    <w:rPr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181"/>
    <w:pPr>
      <w:keepNext/>
      <w:keepLines/>
      <w:pBdr>
        <w:top w:val="single" w:sz="2" w:space="0" w:color="FFFFFF" w:themeColor="background1"/>
        <w:left w:val="single" w:sz="36" w:space="6" w:color="FFC700" w:themeColor="accent1"/>
        <w:bottom w:val="single" w:sz="2" w:space="0" w:color="FFFFFF" w:themeColor="background1"/>
      </w:pBdr>
      <w:snapToGrid w:val="0"/>
      <w:spacing w:before="120" w:after="240" w:line="240" w:lineRule="auto"/>
      <w:outlineLvl w:val="0"/>
    </w:pPr>
    <w:rPr>
      <w:rFonts w:ascii="Barlow Condensed" w:eastAsia="思源黑体 CN" w:hAnsi="Barlow Condensed" w:cstheme="majorBidi"/>
      <w:b/>
      <w:bCs/>
      <w:caps/>
      <w:color w:val="1F1F1F" w:themeColor="text1"/>
      <w:spacing w:val="10"/>
      <w:sz w:val="44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181"/>
    <w:pPr>
      <w:spacing w:before="240" w:after="120" w:line="240" w:lineRule="auto"/>
      <w:outlineLvl w:val="1"/>
    </w:pPr>
    <w:rPr>
      <w:rFonts w:asciiTheme="majorHAnsi" w:eastAsiaTheme="majorEastAsia" w:hAnsiTheme="majorHAnsi"/>
      <w:b/>
      <w:caps/>
      <w:color w:val="1F1F1F" w:themeColor="text1"/>
      <w:spacing w:val="1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014"/>
    <w:pPr>
      <w:keepNext/>
      <w:keepLines/>
      <w:spacing w:before="160" w:after="80"/>
      <w:outlineLvl w:val="2"/>
    </w:pPr>
    <w:rPr>
      <w:rFonts w:eastAsiaTheme="majorEastAsia" w:cstheme="majorBidi"/>
      <w:color w:val="BF95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F95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014"/>
    <w:pPr>
      <w:keepNext/>
      <w:keepLines/>
      <w:spacing w:before="80" w:after="40"/>
      <w:outlineLvl w:val="4"/>
    </w:pPr>
    <w:rPr>
      <w:rFonts w:eastAsiaTheme="majorEastAsia" w:cstheme="majorBidi"/>
      <w:color w:val="BF95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014"/>
    <w:pPr>
      <w:keepNext/>
      <w:keepLines/>
      <w:spacing w:before="40"/>
      <w:outlineLvl w:val="5"/>
    </w:pPr>
    <w:rPr>
      <w:rFonts w:eastAsiaTheme="majorEastAsia" w:cstheme="majorBidi"/>
      <w:i/>
      <w:iCs/>
      <w:color w:val="6D6D6D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014"/>
    <w:pPr>
      <w:keepNext/>
      <w:keepLines/>
      <w:spacing w:before="40"/>
      <w:outlineLvl w:val="6"/>
    </w:pPr>
    <w:rPr>
      <w:rFonts w:eastAsiaTheme="majorEastAsia" w:cstheme="majorBidi"/>
      <w:color w:val="6D6D6D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014"/>
    <w:pPr>
      <w:keepNext/>
      <w:keepLines/>
      <w:outlineLvl w:val="7"/>
    </w:pPr>
    <w:rPr>
      <w:rFonts w:eastAsiaTheme="majorEastAsia" w:cstheme="majorBidi"/>
      <w:i/>
      <w:iCs/>
      <w:color w:val="414141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014"/>
    <w:pPr>
      <w:keepNext/>
      <w:keepLines/>
      <w:outlineLvl w:val="8"/>
    </w:pPr>
    <w:rPr>
      <w:rFonts w:eastAsiaTheme="majorEastAsia" w:cstheme="majorBidi"/>
      <w:color w:val="414141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181"/>
    <w:rPr>
      <w:rFonts w:ascii="Barlow Condensed" w:eastAsia="思源黑体 CN" w:hAnsi="Barlow Condensed" w:cstheme="majorBidi"/>
      <w:b/>
      <w:bCs/>
      <w:caps/>
      <w:color w:val="1F1F1F" w:themeColor="text1"/>
      <w:spacing w:val="10"/>
      <w:sz w:val="44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66181"/>
    <w:rPr>
      <w:rFonts w:asciiTheme="majorHAnsi" w:eastAsiaTheme="majorEastAsia" w:hAnsiTheme="majorHAnsi"/>
      <w:b/>
      <w:caps/>
      <w:color w:val="1F1F1F" w:themeColor="text1"/>
      <w:spacing w:val="1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014"/>
    <w:rPr>
      <w:rFonts w:eastAsiaTheme="majorEastAsia" w:cstheme="majorBidi"/>
      <w:color w:val="BF95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014"/>
    <w:rPr>
      <w:rFonts w:eastAsiaTheme="majorEastAsia" w:cstheme="majorBidi"/>
      <w:i/>
      <w:iCs/>
      <w:color w:val="BF95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014"/>
    <w:rPr>
      <w:rFonts w:eastAsiaTheme="majorEastAsia" w:cstheme="majorBidi"/>
      <w:color w:val="BF95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014"/>
    <w:rPr>
      <w:rFonts w:eastAsiaTheme="majorEastAsia" w:cstheme="majorBidi"/>
      <w:i/>
      <w:iCs/>
      <w:color w:val="6D6D6D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014"/>
    <w:rPr>
      <w:rFonts w:eastAsiaTheme="majorEastAsia" w:cstheme="majorBidi"/>
      <w:color w:val="6D6D6D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014"/>
    <w:rPr>
      <w:rFonts w:eastAsiaTheme="majorEastAsia" w:cstheme="majorBidi"/>
      <w:i/>
      <w:iCs/>
      <w:color w:val="414141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014"/>
    <w:rPr>
      <w:rFonts w:eastAsiaTheme="majorEastAsia" w:cstheme="majorBidi"/>
      <w:color w:val="414141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014"/>
    <w:pPr>
      <w:numPr>
        <w:ilvl w:val="1"/>
      </w:numPr>
    </w:pPr>
    <w:rPr>
      <w:rFonts w:eastAsiaTheme="majorEastAsia" w:cstheme="majorBidi"/>
      <w:color w:val="6D6D6D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014"/>
    <w:rPr>
      <w:rFonts w:eastAsiaTheme="majorEastAsia" w:cstheme="majorBidi"/>
      <w:color w:val="6D6D6D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014"/>
    <w:pPr>
      <w:spacing w:before="160"/>
      <w:jc w:val="center"/>
    </w:pPr>
    <w:rPr>
      <w:i/>
      <w:iCs/>
      <w:color w:val="575757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014"/>
    <w:rPr>
      <w:i/>
      <w:iCs/>
      <w:color w:val="575757" w:themeColor="text1" w:themeTint="BF"/>
    </w:rPr>
  </w:style>
  <w:style w:type="paragraph" w:styleId="ListParagraph">
    <w:name w:val="List Paragraph"/>
    <w:basedOn w:val="Normal"/>
    <w:uiPriority w:val="34"/>
    <w:qFormat/>
    <w:rsid w:val="00143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014"/>
    <w:rPr>
      <w:i/>
      <w:iCs/>
      <w:color w:val="BF95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014"/>
    <w:pPr>
      <w:pBdr>
        <w:top w:val="single" w:sz="4" w:space="10" w:color="BF9500" w:themeColor="accent1" w:themeShade="BF"/>
        <w:bottom w:val="single" w:sz="4" w:space="10" w:color="BF9500" w:themeColor="accent1" w:themeShade="BF"/>
      </w:pBdr>
      <w:spacing w:before="360" w:after="360"/>
      <w:ind w:left="864" w:right="864"/>
      <w:jc w:val="center"/>
    </w:pPr>
    <w:rPr>
      <w:i/>
      <w:iCs/>
      <w:color w:val="BF95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014"/>
    <w:rPr>
      <w:i/>
      <w:iCs/>
      <w:color w:val="BF95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014"/>
    <w:rPr>
      <w:b/>
      <w:bCs/>
      <w:smallCaps/>
      <w:color w:val="BF9500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3014"/>
    <w:rPr>
      <w:color w:val="FFC7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01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66181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181"/>
    <w:rPr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F66181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181"/>
    <w:rPr>
      <w:sz w:val="21"/>
      <w:szCs w:val="21"/>
    </w:rPr>
  </w:style>
  <w:style w:type="table" w:styleId="TableGrid">
    <w:name w:val="Table Grid"/>
    <w:basedOn w:val="TableNormal"/>
    <w:uiPriority w:val="39"/>
    <w:rsid w:val="00C76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919F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synkarta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Synkarta_VI">
      <a:dk1>
        <a:srgbClr val="1F1F1F"/>
      </a:dk1>
      <a:lt1>
        <a:srgbClr val="FFFFFF"/>
      </a:lt1>
      <a:dk2>
        <a:srgbClr val="697077"/>
      </a:dk2>
      <a:lt2>
        <a:srgbClr val="F8F9FA"/>
      </a:lt2>
      <a:accent1>
        <a:srgbClr val="FFC700"/>
      </a:accent1>
      <a:accent2>
        <a:srgbClr val="343A40"/>
      </a:accent2>
      <a:accent3>
        <a:srgbClr val="ADB5BD"/>
      </a:accent3>
      <a:accent4>
        <a:srgbClr val="DEE2E6"/>
      </a:accent4>
      <a:accent5>
        <a:srgbClr val="E5B300"/>
      </a:accent5>
      <a:accent6>
        <a:srgbClr val="121212"/>
      </a:accent6>
      <a:hlink>
        <a:srgbClr val="FFC700"/>
      </a:hlink>
      <a:folHlink>
        <a:srgbClr val="697077"/>
      </a:folHlink>
    </a:clrScheme>
    <a:fontScheme name="Synkarta_Fonts">
      <a:majorFont>
        <a:latin typeface="Barlow Condensed"/>
        <a:ea typeface="思源黑体 CN"/>
        <a:cs typeface=""/>
      </a:majorFont>
      <a:minorFont>
        <a:latin typeface="Barlow"/>
        <a:ea typeface="思源黑体 C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9C93AA77-90D5-4A83-AF30-4E2D65709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Li</dc:creator>
  <cp:keywords/>
  <dc:description/>
  <cp:lastModifiedBy>Edwin Li</cp:lastModifiedBy>
  <cp:revision>10</cp:revision>
  <dcterms:created xsi:type="dcterms:W3CDTF">2026-02-21T02:21:00Z</dcterms:created>
  <dcterms:modified xsi:type="dcterms:W3CDTF">2026-02-21T02:50:00Z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797eaaaf-b385-4d03-9b5c-f3bc1178564d</vt:lpwstr>
  </property>
</Properties>
</file>