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 Findings Response</w:t>
      </w:r>
    </w:p>
    <w:bookmarkStart w:id="24" w:name="audit-findings-response-critical-items"/>
    <w:p>
      <w:pPr>
        <w:pStyle w:val="Heading1"/>
      </w:pPr>
      <w:r>
        <w:t xml:space="preserve">Audit Findings Response: Critical Items</w:t>
      </w:r>
    </w:p>
    <w:p>
      <w:pPr>
        <w:pStyle w:val="FirstParagraph"/>
      </w:pPr>
      <w:r>
        <w:t xml:space="preserve">This document summarises the nine Critical-rated findings from the audit</w:t>
      </w:r>
      <w:r>
        <w:t xml:space="preserve"> </w:t>
      </w:r>
      <w:r>
        <w:t xml:space="preserve">findings spreadsheet and provides infrastructure-specific context and</w:t>
      </w:r>
      <w:r>
        <w:t xml:space="preserve"> </w:t>
      </w:r>
      <w:r>
        <w:t xml:space="preserve">recommended remediation steps for each. Findings are grouped by the two</w:t>
      </w:r>
      <w:r>
        <w:t xml:space="preserve"> </w:t>
      </w:r>
      <w:r>
        <w:t xml:space="preserve">themes that the audit identified: Change Management and Identity &amp; Access</w:t>
      </w:r>
      <w:r>
        <w:t xml:space="preserve"> </w:t>
      </w:r>
      <w:r>
        <w:t xml:space="preserve">Management.</w:t>
      </w:r>
    </w:p>
    <w:p>
      <w:r>
        <w:pict>
          <v:rect style="width:0;height:1.5pt" o:hralign="center" o:hrstd="t" o:hr="t"/>
        </w:pict>
      </w:r>
    </w:p>
    <w:bookmarkStart w:id="17" w:name="theme-1-change-management"/>
    <w:p>
      <w:pPr>
        <w:pStyle w:val="Heading2"/>
      </w:pPr>
      <w:r>
        <w:t xml:space="preserve">Theme 1: Change Management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F-004, F-022, F-023, F-024</w:t>
      </w:r>
    </w:p>
    <w:p>
      <w:pPr>
        <w:pStyle w:val="BodyText"/>
      </w:pPr>
      <w:r>
        <w:t xml:space="preserve">These four findings share a root cause: no formal risk classification or</w:t>
      </w:r>
      <w:r>
        <w:t xml:space="preserve"> </w:t>
      </w:r>
      <w:r>
        <w:t xml:space="preserve">impact assessment sits on top of the existing technical promotion pipeline.</w:t>
      </w:r>
      <w:r>
        <w:t xml:space="preserve"> </w:t>
      </w:r>
      <w:r>
        <w:t xml:space="preserve">The pipeline itself is sound; what is missing is a documented governance</w:t>
      </w:r>
      <w:r>
        <w:t xml:space="preserve"> </w:t>
      </w:r>
      <w:r>
        <w:t xml:space="preserve">layer on top of it.</w:t>
      </w:r>
    </w:p>
    <w:bookmarkStart w:id="9" w:name="what-already-exists-leverage-this"/>
    <w:p>
      <w:pPr>
        <w:pStyle w:val="Heading3"/>
      </w:pPr>
      <w:r>
        <w:t xml:space="preserve">What already exists (leverage this)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dev -&gt; test -&gt; platform -&gt; staging -&gt; prod</w:t>
      </w:r>
      <w:r>
        <w:t xml:space="preserve"> </w:t>
      </w:r>
      <w:r>
        <w:t xml:space="preserve">promotion pipeline is</w:t>
      </w:r>
      <w:r>
        <w:t xml:space="preserve"> </w:t>
      </w:r>
      <w:r>
        <w:t xml:space="preserve">already a de facto change control mechanism for application code. It</w:t>
      </w:r>
      <w:r>
        <w:t xml:space="preserve"> </w:t>
      </w:r>
      <w:r>
        <w:t xml:space="preserve">needs to be formalised, not replaced.</w:t>
      </w:r>
    </w:p>
    <w:p>
      <w:pPr>
        <w:pStyle w:val="Compact"/>
        <w:numPr>
          <w:ilvl w:val="0"/>
          <w:numId w:val="1001"/>
        </w:numPr>
      </w:pPr>
      <w:r>
        <w:t xml:space="preserve">The sub-environment pipeline (</w:t>
      </w:r>
      <w:r>
        <w:rPr>
          <w:rStyle w:val="VerbatimChar"/>
        </w:rPr>
        <w:t xml:space="preserve">configure -&gt; preview -&gt; validate -&gt; accept -&gt; my</w:t>
      </w:r>
      <w:r>
        <w:t xml:space="preserve">) maps directly onto the client validation lifecycle and serves as</w:t>
      </w:r>
      <w:r>
        <w:t xml:space="preserve"> </w:t>
      </w:r>
      <w:r>
        <w:t xml:space="preserve">the GxP stage gate. What is missing is a documented classification</w:t>
      </w:r>
      <w:r>
        <w:t xml:space="preserve"> </w:t>
      </w:r>
      <w:r>
        <w:t xml:space="preserve">decision at the</w:t>
      </w:r>
      <w:r>
        <w:t xml:space="preserve"> </w:t>
      </w:r>
      <w:r>
        <w:rPr>
          <w:i/>
          <w:iCs/>
        </w:rPr>
        <w:t xml:space="preserve">entry</w:t>
      </w:r>
      <w:r>
        <w:t xml:space="preserve"> </w:t>
      </w:r>
      <w:r>
        <w:t xml:space="preserve">of each promotion.</w:t>
      </w:r>
    </w:p>
    <w:p>
      <w:pPr>
        <w:pStyle w:val="Compact"/>
        <w:numPr>
          <w:ilvl w:val="0"/>
          <w:numId w:val="1001"/>
        </w:numPr>
      </w:pPr>
      <w:r>
        <w:t xml:space="preserve">GitOps via ArgoCD means every application change is a git commit, giving</w:t>
      </w:r>
      <w:r>
        <w:t xml:space="preserve"> </w:t>
      </w:r>
      <w:r>
        <w:t xml:space="preserve">an existing audit trail.</w:t>
      </w:r>
    </w:p>
    <w:bookmarkEnd w:id="9"/>
    <w:bookmarkStart w:id="10" w:name="X5b59bf049946e7053e0151d7bc38c46bcab819a"/>
    <w:p>
      <w:pPr>
        <w:pStyle w:val="Heading3"/>
      </w:pPr>
      <w:r>
        <w:t xml:space="preserve">F-022 / F-023 — Risk classification layer on the existing pipeline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SOP-IT-002 does not distinguish between GxP-impacting and</w:t>
      </w:r>
      <w:r>
        <w:t xml:space="preserve"> </w:t>
      </w:r>
      <w:r>
        <w:t xml:space="preserve">non-GxP changes, has no emergency change path, and the scope review in</w:t>
      </w:r>
      <w:r>
        <w:t xml:space="preserve"> </w:t>
      </w:r>
      <w:r>
        <w:t xml:space="preserve">Section 6 does not require GxP, validation, security, data integrity, or</w:t>
      </w:r>
      <w:r>
        <w:t xml:space="preserve"> </w:t>
      </w:r>
      <w:r>
        <w:t xml:space="preserve">RTO/RPO impact assessments. No Change Advisory Board (CAB) is defined.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02"/>
        </w:numPr>
      </w:pPr>
      <w:r>
        <w:t xml:space="preserve">Define a change taxonomy and apply it as a required field in PR</w:t>
      </w:r>
      <w:r>
        <w:t xml:space="preserve"> </w:t>
      </w:r>
      <w:r>
        <w:t xml:space="preserve">templates for the repos that govern production state: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kubernetes-manifests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terraform-infra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presto-besto-manifesto</w:t>
      </w:r>
      <w:r>
        <w:t xml:space="preserve">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GxP-impacting</w:t>
            </w:r>
          </w:p>
        </w:tc>
        <w:tc>
          <w:tcPr/>
          <w:p>
            <w:pPr>
              <w:pStyle w:val="Compact"/>
            </w:pPr>
            <w:r>
              <w:t xml:space="preserve">NGINX routing changes; any service deployed to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/</w:t>
            </w:r>
            <w:r>
              <w:rPr>
                <w:rStyle w:val="VerbatimChar"/>
              </w:rPr>
              <w:t xml:space="preserve">accept</w:t>
            </w:r>
            <w:r>
              <w:t xml:space="preserve">/</w:t>
            </w:r>
            <w:r>
              <w:rPr>
                <w:rStyle w:val="VerbatimChar"/>
              </w:rPr>
              <w:t xml:space="preserve">my</w:t>
            </w:r>
            <w:r>
              <w:t xml:space="preserve">; Terraform touching Atlas or Key Vault</w:t>
            </w:r>
          </w:p>
        </w:tc>
        <w:tc>
          <w:tcPr/>
          <w:p>
            <w:pPr>
              <w:pStyle w:val="Compact"/>
            </w:pPr>
            <w:r>
              <w:t xml:space="preserve">CAB sign-off + validation impact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AKS, Terraform, ArgoCD bootstrap</w:t>
            </w:r>
          </w:p>
        </w:tc>
        <w:tc>
          <w:tcPr/>
          <w:p>
            <w:pPr>
              <w:pStyle w:val="Compact"/>
            </w:pPr>
            <w:r>
              <w:t xml:space="preserve">Peer review + security impact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Security hotfix, critical production outage</w:t>
            </w:r>
          </w:p>
        </w:tc>
        <w:tc>
          <w:tcPr/>
          <w:p>
            <w:pPr>
              <w:pStyle w:val="Compact"/>
            </w:pPr>
            <w:r>
              <w:t xml:space="preserve">Expedited oral CAB approval; written follow-up within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Non-GxP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/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only; observability; tooling</w:t>
            </w:r>
          </w:p>
        </w:tc>
        <w:tc>
          <w:tcPr/>
          <w:p>
            <w:pPr>
              <w:pStyle w:val="Compact"/>
            </w:pPr>
            <w:r>
              <w:t xml:space="preserve">Standard peer review</w:t>
            </w:r>
          </w:p>
        </w:tc>
      </w:tr>
    </w:tbl>
    <w:p>
      <w:pPr>
        <w:numPr>
          <w:ilvl w:val="0"/>
          <w:numId w:val="1002"/>
        </w:numPr>
      </w:pPr>
      <w:r>
        <w:t xml:space="preserve">NGINX routing changes warrant special attention: a misconfigured</w:t>
      </w:r>
      <w:r>
        <w:t xml:space="preserve"> </w:t>
      </w:r>
      <w:r>
        <w:t xml:space="preserve">routing rule silently sends a client to the wrong service version.</w:t>
      </w:r>
      <w:r>
        <w:t xml:space="preserve"> </w:t>
      </w:r>
      <w:r>
        <w:t xml:space="preserve">Any PR touching NGINX config in production must require explicit CAB</w:t>
      </w:r>
      <w:r>
        <w:t xml:space="preserve"> </w:t>
      </w:r>
      <w:r>
        <w:t xml:space="preserve">sign-off regardless of other classification.</w:t>
      </w:r>
    </w:p>
    <w:p>
      <w:pPr>
        <w:numPr>
          <w:ilvl w:val="0"/>
          <w:numId w:val="1002"/>
        </w:numPr>
      </w:pPr>
      <w:r>
        <w:t xml:space="preserve">Establish a CAB with representatives from DevOps, Engineering, Client</w:t>
      </w:r>
      <w:r>
        <w:t xml:space="preserve"> </w:t>
      </w:r>
      <w:r>
        <w:t xml:space="preserve">Services, and (for GxP-impacting changes) QA/Regulatory. Define quorum</w:t>
      </w:r>
      <w:r>
        <w:t xml:space="preserve"> </w:t>
      </w:r>
      <w:r>
        <w:t xml:space="preserve">and an async approval path for non-business-hours emergency changes.</w:t>
      </w:r>
    </w:p>
    <w:bookmarkEnd w:id="10"/>
    <w:bookmarkStart w:id="11" w:name="f-004-third-party-change-control"/>
    <w:p>
      <w:pPr>
        <w:pStyle w:val="Heading3"/>
      </w:pPr>
      <w:r>
        <w:t xml:space="preserve">F-004 — Third-party change control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risk-based change control process exists for third-party</w:t>
      </w:r>
      <w:r>
        <w:t xml:space="preserve"> </w:t>
      </w:r>
      <w:r>
        <w:t xml:space="preserve">systems.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03"/>
        </w:numPr>
      </w:pPr>
      <w:r>
        <w:t xml:space="preserve">Enumerate the third-party systems with GxP relevance and assign an</w:t>
      </w:r>
      <w:r>
        <w:t xml:space="preserve"> </w:t>
      </w:r>
      <w:r>
        <w:t xml:space="preserve">internal owner responsible for monitoring vendor-initiated changes: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GxP relevance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Entra B2C</w:t>
            </w:r>
          </w:p>
        </w:tc>
        <w:tc>
          <w:tcPr/>
          <w:p>
            <w:pPr>
              <w:pStyle w:val="Compact"/>
            </w:pPr>
            <w:r>
              <w:t xml:space="preserve">High (auth, MFA)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High (clinical data)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Medium (WAF, DNS)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Twingate</w:t>
            </w:r>
          </w:p>
        </w:tc>
        <w:tc>
          <w:tcPr/>
          <w:p>
            <w:pPr>
              <w:pStyle w:val="Compact"/>
            </w:pPr>
            <w:r>
              <w:t xml:space="preserve">Medium (network access)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Medium (CI/CD pipeline integrity)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Medium (deployment pipeline)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AKS</w:t>
            </w:r>
          </w:p>
        </w:tc>
        <w:tc>
          <w:tcPr/>
          <w:p>
            <w:pPr>
              <w:pStyle w:val="Compact"/>
            </w:pPr>
            <w:r>
              <w:t xml:space="preserve">Medium (compute platform)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Datadog / PagerDuty</w:t>
            </w:r>
          </w:p>
        </w:tc>
        <w:tc>
          <w:tcPr/>
          <w:p>
            <w:pPr>
              <w:pStyle w:val="Compact"/>
            </w:pPr>
            <w:r>
              <w:t xml:space="preserve">Low (observability)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pPr>
        <w:numPr>
          <w:ilvl w:val="0"/>
          <w:numId w:val="1003"/>
        </w:numPr>
      </w:pPr>
      <w:r>
        <w:t xml:space="preserve">For each high-relevance system, define: (a) how Korio is notified of</w:t>
      </w:r>
      <w:r>
        <w:t xml:space="preserve"> </w:t>
      </w:r>
      <w:r>
        <w:t xml:space="preserve">vendor-initiated changes, (b) what validation/regression testing is</w:t>
      </w:r>
      <w:r>
        <w:t xml:space="preserve"> </w:t>
      </w:r>
      <w:r>
        <w:t xml:space="preserve">required before accepting an update, and (c) what the rollback path is</w:t>
      </w:r>
      <w:r>
        <w:t xml:space="preserve"> </w:t>
      </w:r>
      <w:r>
        <w:t xml:space="preserve">if an update causes a regression.</w:t>
      </w:r>
    </w:p>
    <w:p>
      <w:pPr>
        <w:numPr>
          <w:ilvl w:val="0"/>
          <w:numId w:val="1003"/>
        </w:numPr>
      </w:pPr>
      <w:r>
        <w:t xml:space="preserve">Define an expedited emergency path for vendor-side incidents (e.g., an</w:t>
      </w:r>
      <w:r>
        <w:t xml:space="preserve"> </w:t>
      </w:r>
      <w:r>
        <w:t xml:space="preserve">Atlas-forced maintenance window): oral CAB approval acceptable, followed</w:t>
      </w:r>
      <w:r>
        <w:t xml:space="preserve"> </w:t>
      </w:r>
      <w:r>
        <w:t xml:space="preserve">by written documentation within 24 hours.</w:t>
      </w:r>
    </w:p>
    <w:bookmarkEnd w:id="11"/>
    <w:bookmarkStart w:id="16" w:name="f-024-rollback-strategy"/>
    <w:p>
      <w:pPr>
        <w:pStyle w:val="Heading3"/>
      </w:pPr>
      <w:r>
        <w:t xml:space="preserve">F-024 — Rollback strategy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rollback plan is required before production deployment.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“rollback = git revert + ArgoCD sync”</w:t>
      </w:r>
      <w:r>
        <w:t xml:space="preserve"> </w:t>
      </w:r>
      <w:r>
        <w:t xml:space="preserve">is</w:t>
      </w:r>
      <w:r>
        <w:t xml:space="preserve"> </w:t>
      </w:r>
      <w:r>
        <w:t xml:space="preserve">only accurate for code-only changes. It does not apply when MongoDB data</w:t>
      </w:r>
      <w:r>
        <w:t xml:space="preserve"> </w:t>
      </w:r>
      <w:r>
        <w:t xml:space="preserve">has been modified by the new version of the code. These are fundamentally</w:t>
      </w:r>
      <w:r>
        <w:t xml:space="preserve"> </w:t>
      </w:r>
      <w:r>
        <w:t xml:space="preserve">different scenarios and must be treated separately in the SOP.</w:t>
      </w:r>
    </w:p>
    <w:bookmarkStart w:id="12" w:name="code-rollback-vs.-data-rollback"/>
    <w:p>
      <w:pPr>
        <w:pStyle w:val="Heading4"/>
      </w:pPr>
      <w:r>
        <w:t xml:space="preserve">Code rollback vs. data rollback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+ ArgoCD sync rolls back the</w:t>
      </w:r>
      <w:r>
        <w:t xml:space="preserve"> </w:t>
      </w:r>
      <w:r>
        <w:rPr>
          <w:i/>
          <w:iCs/>
        </w:rPr>
        <w:t xml:space="preserve">running container image</w:t>
      </w:r>
      <w:r>
        <w:t xml:space="preserve">. It</w:t>
      </w:r>
      <w:r>
        <w:t xml:space="preserve"> </w:t>
      </w:r>
      <w:r>
        <w:t xml:space="preserve">does nothing to MongoDB. The risk depends on what the deployed code did</w:t>
      </w:r>
      <w:r>
        <w:t xml:space="preserve"> </w:t>
      </w:r>
      <w:r>
        <w:t xml:space="preserve">during its runtime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Rollback viability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Code only</w:t>
            </w:r>
          </w:p>
        </w:tc>
        <w:tc>
          <w:tcPr/>
          <w:p>
            <w:pPr>
              <w:pStyle w:val="Compact"/>
            </w:pPr>
            <w:r>
              <w:t xml:space="preserve">Pure logic change; no schema or data effect</w:t>
            </w:r>
          </w:p>
        </w:tc>
        <w:tc>
          <w:tcPr/>
          <w:p>
            <w:pPr>
              <w:pStyle w:val="Compact"/>
            </w:pPr>
            <w:r>
              <w:t xml:space="preserve">Git revert + ArgoCD sync. 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Additive schema</w:t>
            </w:r>
          </w:p>
        </w:tc>
        <w:tc>
          <w:tcPr/>
          <w:p>
            <w:pPr>
              <w:pStyle w:val="Compact"/>
            </w:pPr>
            <w:r>
              <w:t xml:space="preserve">New optional fields written; old code ignores them (schemaless)</w:t>
            </w:r>
          </w:p>
        </w:tc>
        <w:tc>
          <w:tcPr/>
          <w:p>
            <w:pPr>
              <w:pStyle w:val="Compact"/>
            </w:pPr>
            <w:r>
              <w:t xml:space="preserve">Code rollback works; documents are in mixed state. Usually survivable.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Destructive schema / data migration</w:t>
            </w:r>
          </w:p>
        </w:tc>
        <w:tc>
          <w:tcPr/>
          <w:p>
            <w:pPr>
              <w:pStyle w:val="Compact"/>
            </w:pPr>
            <w:r>
              <w:t xml:space="preserve">Field renamed, document restructured, data migrated</w:t>
            </w:r>
          </w:p>
        </w:tc>
        <w:tc>
          <w:tcPr/>
          <w:p>
            <w:pPr>
              <w:pStyle w:val="Compact"/>
            </w:pPr>
            <w:r>
              <w:t xml:space="preserve">Code rollback alone makes things worse. Requires Atlas PITR + cluster restore + redeploy + Key Vault re-sync. Planned downtime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Irreversible business event</w:t>
            </w:r>
          </w:p>
        </w:tc>
        <w:tc>
          <w:tcPr/>
          <w:p>
            <w:pPr>
              <w:pStyle w:val="Compact"/>
            </w:pPr>
            <w:r>
              <w:t xml:space="preserve">Patient randomised, supply shipment triggered, audit trail entry written</w:t>
            </w:r>
          </w:p>
        </w:tc>
        <w:tc>
          <w:tcPr/>
          <w:p>
            <w:pPr>
              <w:pStyle w:val="Compact"/>
            </w:pPr>
            <w:r>
              <w:t xml:space="preserve">No technical rollback. Requires a compensating transaction and regulatory documentation.</w:t>
            </w:r>
          </w:p>
        </w:tc>
      </w:tr>
    </w:tbl>
    <w:p>
      <w:pPr>
        <w:pStyle w:val="BodyText"/>
      </w:pPr>
      <w:r>
        <w:t xml:space="preserve">Scenario D is particularly relevant for an IRT platform: many clinical</w:t>
      </w:r>
      <w:r>
        <w:t xml:space="preserve"> </w:t>
      </w:r>
      <w:r>
        <w:t xml:space="preserve">trial operations are intentionally irreversible. Regulatory requirements</w:t>
      </w:r>
      <w:r>
        <w:t xml:space="preserve"> </w:t>
      </w:r>
      <w:r>
        <w:t xml:space="preserve">may actively prohibit rolling back certain records.</w:t>
      </w:r>
    </w:p>
    <w:bookmarkEnd w:id="12"/>
    <w:bookmarkStart w:id="13" w:name="atlas-pitr-constraints"/>
    <w:p>
      <w:pPr>
        <w:pStyle w:val="Heading4"/>
      </w:pPr>
      <w:r>
        <w:t xml:space="preserve">Atlas PITR constraints</w:t>
      </w:r>
    </w:p>
    <w:p>
      <w:pPr>
        <w:pStyle w:val="FirstParagraph"/>
      </w:pPr>
      <w:r>
        <w:t xml:space="preserve">Atlas Point-in-Time Recovery (PITR) is available on production clusters</w:t>
      </w:r>
      <w:r>
        <w:t xml:space="preserve"> </w:t>
      </w:r>
      <w:r>
        <w:t xml:space="preserve">but has significant constraints:</w:t>
      </w:r>
    </w:p>
    <w:p>
      <w:pPr>
        <w:pStyle w:val="Compact"/>
        <w:numPr>
          <w:ilvl w:val="0"/>
          <w:numId w:val="1004"/>
        </w:numPr>
      </w:pPr>
      <w:r>
        <w:t xml:space="preserve">Restores the</w:t>
      </w:r>
      <w:r>
        <w:t xml:space="preserve"> </w:t>
      </w:r>
      <w:r>
        <w:rPr>
          <w:b/>
          <w:bCs/>
        </w:rPr>
        <w:t xml:space="preserve">entire cluster</w:t>
      </w:r>
      <w:r>
        <w:t xml:space="preserve"> </w:t>
      </w:r>
      <w:r>
        <w:t xml:space="preserve">– a single-database or</w:t>
      </w:r>
      <w:r>
        <w:t xml:space="preserve"> </w:t>
      </w:r>
      <w:r>
        <w:t xml:space="preserve">single-collection restore is not possible.</w:t>
      </w:r>
    </w:p>
    <w:p>
      <w:pPr>
        <w:pStyle w:val="Compact"/>
        <w:numPr>
          <w:ilvl w:val="0"/>
          <w:numId w:val="1004"/>
        </w:numPr>
      </w:pPr>
      <w:r>
        <w:t xml:space="preserve">For production, each sub-environment has its own Atlas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vozni-prod-{subenv}</w:t>
      </w:r>
      <w:r>
        <w:t xml:space="preserve">). A PITR on</w:t>
      </w:r>
      <w:r>
        <w:t xml:space="preserve"> </w:t>
      </w:r>
      <w:r>
        <w:rPr>
          <w:rStyle w:val="VerbatimChar"/>
        </w:rPr>
        <w:t xml:space="preserve">vozni-prod-validate</w:t>
      </w:r>
      <w:r>
        <w:t xml:space="preserve"> </w:t>
      </w:r>
      <w:r>
        <w:t xml:space="preserve">rolls back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services using that cluster, not just the one service being</w:t>
      </w:r>
      <w:r>
        <w:t xml:space="preserve"> </w:t>
      </w:r>
      <w:r>
        <w:t xml:space="preserve">reverted.</w:t>
      </w:r>
    </w:p>
    <w:p>
      <w:pPr>
        <w:pStyle w:val="Compact"/>
        <w:numPr>
          <w:ilvl w:val="0"/>
          <w:numId w:val="1004"/>
        </w:numPr>
      </w:pPr>
      <w:r>
        <w:t xml:space="preserve">Restore requires downtime or provisioning a new cluster from the</w:t>
      </w:r>
      <w:r>
        <w:t xml:space="preserve"> </w:t>
      </w:r>
      <w:r>
        <w:t xml:space="preserve">snapshot (O(minutes to tens of minutes) depending on data volume).</w:t>
      </w:r>
    </w:p>
    <w:p>
      <w:pPr>
        <w:pStyle w:val="Compact"/>
        <w:numPr>
          <w:ilvl w:val="0"/>
          <w:numId w:val="1004"/>
        </w:numPr>
      </w:pPr>
      <w:r>
        <w:t xml:space="preserve">After any Atlas restore, the MongoDB connection URI in the</w:t>
      </w:r>
      <w:r>
        <w:t xml:space="preserve"> </w:t>
      </w:r>
      <w:r>
        <w:t xml:space="preserve">sub-environment’s Azure Key Vault must be manually verified and</w:t>
      </w:r>
      <w:r>
        <w:t xml:space="preserve"> </w:t>
      </w:r>
      <w:r>
        <w:t xml:space="preserve">re-synced if necessary (see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 </w:t>
      </w:r>
      <w:r>
        <w:t xml:space="preserve">– MongoDB Atlas</w:t>
      </w:r>
      <w:r>
        <w:t xml:space="preserve"> </w:t>
      </w:r>
      <w:r>
        <w:t xml:space="preserve">Credential Management). This is a silent failure mode: if the Key Vault</w:t>
      </w:r>
      <w:r>
        <w:t xml:space="preserve"> </w:t>
      </w:r>
      <w:r>
        <w:t xml:space="preserve">URI is out of sync with the restored cluster’s credentials, every pod</w:t>
      </w:r>
      <w:r>
        <w:t xml:space="preserve"> </w:t>
      </w:r>
      <w:r>
        <w:t xml:space="preserve">connecting to MongoDB will fail without any warning from Terraform or</w:t>
      </w:r>
      <w:r>
        <w:t xml:space="preserve"> </w:t>
      </w:r>
      <w:r>
        <w:t xml:space="preserve">ArgoCD.</w:t>
      </w:r>
    </w:p>
    <w:bookmarkEnd w:id="13"/>
    <w:bookmarkStart w:id="14" w:name="X90495cbd33e1fec7e9a5ace7b5aaa225a248f59"/>
    <w:p>
      <w:pPr>
        <w:pStyle w:val="Heading4"/>
      </w:pPr>
      <w:r>
        <w:t xml:space="preserve">Recommended rollback procedure by change category</w:t>
      </w:r>
    </w:p>
    <w:p>
      <w:pPr>
        <w:pStyle w:val="FirstParagraph"/>
      </w:pPr>
      <w:r>
        <w:t xml:space="preserve">Each change request must declare its category before approval. The</w:t>
      </w:r>
      <w:r>
        <w:t xml:space="preserve"> </w:t>
      </w:r>
      <w:r>
        <w:t xml:space="preserve">category determines the required rollback plan:</w:t>
      </w:r>
    </w:p>
    <w:p>
      <w:pPr>
        <w:pStyle w:val="BodyText"/>
      </w:pPr>
      <w:r>
        <w:rPr>
          <w:b/>
          <w:bCs/>
        </w:rPr>
        <w:t xml:space="preserve">Category A/B (code-only or additive schema):</w:t>
      </w:r>
      <w:r>
        <w:t xml:space="preserve"> </w:t>
      </w:r>
      <w:r>
        <w:t xml:space="preserve">1. Record the current ArgoCD application revision (commit SHA) in the</w:t>
      </w:r>
      <w:r>
        <w:t xml:space="preserve"> </w:t>
      </w:r>
      <w:r>
        <w:t xml:space="preserve">change ticket before deployment.</w:t>
      </w:r>
      <w:r>
        <w:t xml:space="preserve"> </w:t>
      </w:r>
      <w:r>
        <w:t xml:space="preserve">2. Rollback:</w:t>
      </w:r>
      <w:r>
        <w:t xml:space="preserve"> </w:t>
      </w:r>
      <w:r>
        <w:rPr>
          <w:rStyle w:val="VerbatimChar"/>
        </w:rPr>
        <w:t xml:space="preserve">git revert &lt;commit&gt;</w:t>
      </w:r>
      <w:r>
        <w:t xml:space="preserve"> </w:t>
      </w:r>
      <w:r>
        <w:t xml:space="preserve">on the relevant branch; ArgoCD</w:t>
      </w:r>
      <w:r>
        <w:t xml:space="preserve"> </w:t>
      </w:r>
      <w:r>
        <w:t xml:space="preserve">auto-syncs within polling interval or on next webhook event.</w:t>
      </w:r>
      <w:r>
        <w:t xml:space="preserve"> </w:t>
      </w:r>
      <w:r>
        <w:t xml:space="preserve">3. Verify: confirm all affected pods are Running and passing health checks.</w:t>
      </w:r>
    </w:p>
    <w:p>
      <w:pPr>
        <w:pStyle w:val="BodyText"/>
      </w:pPr>
      <w:r>
        <w:rPr>
          <w:b/>
          <w:bCs/>
        </w:rPr>
        <w:t xml:space="preserve">Category C (destructive schema / data migration):</w:t>
      </w:r>
      <w:r>
        <w:t xml:space="preserve"> </w:t>
      </w:r>
      <w:r>
        <w:t xml:space="preserve">1. Record the Atlas PITR timestamp (UTC) immediately before deployment</w:t>
      </w:r>
      <w:r>
        <w:t xml:space="preserve"> </w:t>
      </w:r>
      <w:r>
        <w:t xml:space="preserve">begins. Store this in the change ticket.</w:t>
      </w:r>
      <w:r>
        <w:t xml:space="preserve"> </w:t>
      </w:r>
      <w:r>
        <w:t xml:space="preserve">2. Rollback requires planned downtime. Steps:</w:t>
      </w:r>
      <w:r>
        <w:t xml:space="preserve"> </w:t>
      </w:r>
      <w:r>
        <w:t xml:space="preserve">a. Scale down all services that connect to the affected Atlas cluster.</w:t>
      </w:r>
      <w:r>
        <w:t xml:space="preserve"> </w:t>
      </w:r>
      <w:r>
        <w:t xml:space="preserve">b. Initiate Atlas PITR restore to the recorded timestamp.</w:t>
      </w:r>
      <w:r>
        <w:t xml:space="preserve"> </w:t>
      </w:r>
      <w:r>
        <w:t xml:space="preserve">c. After restore completes, verify Key Vault URI is consistent with</w:t>
      </w:r>
      <w:r>
        <w:t xml:space="preserve"> </w:t>
      </w:r>
      <w:r>
        <w:t xml:space="preserve">the restored cluster’s credentials. Re-sync if needed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).</w:t>
      </w:r>
      <w:r>
        <w:t xml:space="preserve"> </w:t>
      </w:r>
      <w:r>
        <w:t xml:space="preserve">d. Redeploy the previous container image via git revert + ArgoCD sync.</w:t>
      </w:r>
      <w:r>
        <w:t xml:space="preserve"> </w:t>
      </w:r>
      <w:r>
        <w:t xml:space="preserve">e. Scale services back up. Verify connectivity and pod health.</w:t>
      </w:r>
      <w:r>
        <w:t xml:space="preserve"> </w:t>
      </w:r>
      <w:r>
        <w:t xml:space="preserve">3. Estimated RTO: 30-60+ minutes. Must be declared in the change ticket</w:t>
      </w:r>
      <w:r>
        <w:t xml:space="preserve"> </w:t>
      </w:r>
      <w:r>
        <w:t xml:space="preserve">and communicated to affected clients.</w:t>
      </w:r>
    </w:p>
    <w:p>
      <w:pPr>
        <w:pStyle w:val="BodyText"/>
      </w:pPr>
      <w:r>
        <w:rPr>
          <w:b/>
          <w:bCs/>
        </w:rPr>
        <w:t xml:space="preserve">Category D (irreversible business event):</w:t>
      </w:r>
      <w:r>
        <w:t xml:space="preserve"> </w:t>
      </w:r>
      <w:r>
        <w:t xml:space="preserve">1. No technical rollback. Document the compensating transaction procedure</w:t>
      </w:r>
      <w:r>
        <w:t xml:space="preserve"> </w:t>
      </w:r>
      <w:r>
        <w:t xml:space="preserve">specific to the operation (e.g., how to record a correction to a</w:t>
      </w:r>
      <w:r>
        <w:t xml:space="preserve"> </w:t>
      </w:r>
      <w:r>
        <w:t xml:space="preserve">randomisation event).</w:t>
      </w:r>
      <w:r>
        <w:t xml:space="preserve"> </w:t>
      </w:r>
      <w:r>
        <w:t xml:space="preserve">2. Notify QA/Regulatory. Regulatory documentation required.</w:t>
      </w:r>
    </w:p>
    <w:bookmarkEnd w:id="14"/>
    <w:bookmarkStart w:id="15" w:name="X19076b326f9a37fca2d065db9e6c73f6b00e891"/>
    <w:p>
      <w:pPr>
        <w:pStyle w:val="Heading4"/>
      </w:pPr>
      <w:r>
        <w:t xml:space="preserve">Forward-compatible schema changes (long-term)</w:t>
      </w:r>
    </w:p>
    <w:p>
      <w:pPr>
        <w:pStyle w:val="FirstParagraph"/>
      </w:pPr>
      <w:r>
        <w:t xml:space="preserve">The most effective way to reduce reliance on Category C rollbacks is to</w:t>
      </w:r>
      <w:r>
        <w:t xml:space="preserve"> </w:t>
      </w:r>
      <w:r>
        <w:t xml:space="preserve">enforce the</w:t>
      </w:r>
      <w:r>
        <w:t xml:space="preserve"> </w:t>
      </w:r>
      <w:r>
        <w:rPr>
          <w:b/>
          <w:bCs/>
        </w:rPr>
        <w:t xml:space="preserve">expand-contract (parallel change) pattern</w:t>
      </w:r>
      <w:r>
        <w:t xml:space="preserve"> </w:t>
      </w:r>
      <w:r>
        <w:t xml:space="preserve">as a development</w:t>
      </w:r>
      <w:r>
        <w:t xml:space="preserve"> </w:t>
      </w:r>
      <w:r>
        <w:t xml:space="preserve">standard: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Expand</w:t>
      </w:r>
      <w:r>
        <w:t xml:space="preserve">: Deploy new code that reads both old and new schema shapes</w:t>
      </w:r>
      <w:r>
        <w:t xml:space="preserve"> </w:t>
      </w:r>
      <w:r>
        <w:t xml:space="preserve">and writes the new shape. Old code continues to function correctly on</w:t>
      </w:r>
      <w:r>
        <w:t xml:space="preserve"> </w:t>
      </w:r>
      <w:r>
        <w:t xml:space="preserve">the same database.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Migrate</w:t>
      </w:r>
      <w:r>
        <w:t xml:space="preserve">: Background job or lazy-on-read migration moves existing</w:t>
      </w:r>
      <w:r>
        <w:t xml:space="preserve"> </w:t>
      </w:r>
      <w:r>
        <w:t xml:space="preserve">documents to the new shape.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</w:t>
      </w:r>
      <w:r>
        <w:t xml:space="preserve">: Remove old schema support after the rollback window has</w:t>
      </w:r>
      <w:r>
        <w:t xml:space="preserve"> </w:t>
      </w:r>
      <w:r>
        <w:t xml:space="preserve">elapsed and stability is confirmed.</w:t>
      </w:r>
    </w:p>
    <w:p>
      <w:pPr>
        <w:pStyle w:val="FirstParagraph"/>
      </w:pPr>
      <w:r>
        <w:t xml:space="preserve">This pattern is also the prerequisite for any future blue-green deployment</w:t>
      </w:r>
      <w:r>
        <w:t xml:space="preserve"> </w:t>
      </w:r>
      <w:r>
        <w:t xml:space="preserve">capability: if old and new code can both read the current schema, traffic</w:t>
      </w:r>
      <w:r>
        <w:t xml:space="preserve"> </w:t>
      </w:r>
      <w:r>
        <w:t xml:space="preserve">can be cut over at the NGINX routing layer without a database operation.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theme-2-identity-and-access-management"/>
    <w:p>
      <w:pPr>
        <w:pStyle w:val="Heading2"/>
      </w:pPr>
      <w:r>
        <w:t xml:space="preserve">Theme 2: Identity and Access Management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F-002, F-003, F-013, F-014, F-015</w:t>
      </w:r>
    </w:p>
    <w:bookmarkStart w:id="18" w:name="f-002-rbac-matrix"/>
    <w:p>
      <w:pPr>
        <w:pStyle w:val="Heading3"/>
      </w:pPr>
      <w:r>
        <w:t xml:space="preserve">F-002 — RBAC matrix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formal RBAC matrix exists. Access provisioning outside RBAC</w:t>
      </w:r>
      <w:r>
        <w:t xml:space="preserve"> </w:t>
      </w:r>
      <w:r>
        <w:t xml:space="preserve">is not governed by a defined process.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06"/>
        </w:numPr>
      </w:pPr>
      <w:r>
        <w:t xml:space="preserve">Build the RBAC matrix across all systems. Minimum surface area to</w:t>
      </w:r>
      <w:r>
        <w:t xml:space="preserve"> </w:t>
      </w:r>
      <w:r>
        <w:t xml:space="preserve">document: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Gap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Terraform-defined:</w:t>
            </w:r>
            <w:r>
              <w:t xml:space="preserve"> </w:t>
            </w:r>
            <w:r>
              <w:rPr>
                <w:rStyle w:val="VerbatimChar"/>
              </w:rPr>
              <w:t xml:space="preserve">devops-team</w:t>
            </w:r>
            <w:r>
              <w:t xml:space="preserve"> </w:t>
            </w:r>
            <w:r>
              <w:t xml:space="preserve">Entra group = admin;</w:t>
            </w:r>
            <w:r>
              <w:t xml:space="preserve"> </w:t>
            </w:r>
            <w:r>
              <w:rPr>
                <w:rStyle w:val="VerbatimChar"/>
              </w:rPr>
              <w:t xml:space="preserve">Engineering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ClientServices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role:user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role:user</w:t>
            </w:r>
            <w:r>
              <w:t xml:space="preserve"> </w:t>
            </w:r>
            <w:r>
              <w:t xml:space="preserve">has exec terminal access to production pods. Disable exec in prod or restrict to</w:t>
            </w:r>
            <w:r>
              <w:t xml:space="preserve"> </w:t>
            </w:r>
            <w:r>
              <w:rPr>
                <w:rStyle w:val="VerbatimChar"/>
              </w:rPr>
              <w:t xml:space="preserve">role:admin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(AKS, Key Vault, subscriptions)</w:t>
            </w:r>
          </w:p>
        </w:tc>
        <w:tc>
          <w:tcPr/>
          <w:p>
            <w:pPr>
              <w:pStyle w:val="Compact"/>
            </w:pPr>
            <w:r>
              <w:t xml:space="preserve">Azure RBAC, partially managed by Terraform</w:t>
            </w:r>
          </w:p>
        </w:tc>
        <w:tc>
          <w:tcPr/>
          <w:p>
            <w:pPr>
              <w:pStyle w:val="Compact"/>
            </w:pPr>
            <w:r>
              <w:t xml:space="preserve">Audit which identities have</w:t>
            </w:r>
            <w:r>
              <w:t xml:space="preserve"> </w:t>
            </w:r>
            <w:r>
              <w:rPr>
                <w:rStyle w:val="VerbatimChar"/>
              </w:rPr>
              <w:t xml:space="preserve">Key Vault Secrets User</w:t>
            </w:r>
            <w:r>
              <w:t xml:space="preserve"> </w:t>
            </w:r>
            <w:r>
              <w:t xml:space="preserve">or higher on prod Key Vaults. Developer interactive access to prod Key Vaults should be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One DB user per sub-env (Terraform-managed); admin/integration users are manual</w:t>
            </w:r>
          </w:p>
        </w:tc>
        <w:tc>
          <w:tcPr/>
          <w:p>
            <w:pPr>
              <w:pStyle w:val="Compact"/>
            </w:pPr>
            <w:r>
              <w:t xml:space="preserve">No Terraform tracking of admin users; no documented review process. Enumerate and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Org teams control ArgoCD access and CI/CD triggers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korio-clinical:devops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deploy-{env}</w:t>
            </w:r>
            <w:r>
              <w:t xml:space="preserve"> </w:t>
            </w:r>
            <w:r>
              <w:t xml:space="preserve">team membership. Remove anyone who does not operationally require prod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Enumerate account members and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Twingate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Enumerate who has access to which private subnets.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Datadog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Enumerate roles and API key owners.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PagerDuty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Enumerate admin accounts.</w:t>
            </w:r>
          </w:p>
        </w:tc>
      </w:tr>
    </w:tbl>
    <w:p>
      <w:pPr>
        <w:numPr>
          <w:ilvl w:val="0"/>
          <w:numId w:val="1006"/>
        </w:numPr>
      </w:pPr>
      <w:r>
        <w:t xml:space="preserve">ArgoCD exec terminal (</w:t>
      </w:r>
      <w:r>
        <w:rPr>
          <w:rStyle w:val="VerbatimChar"/>
        </w:rPr>
        <w:t xml:space="preserve">role:user</w:t>
      </w:r>
      <w:r>
        <w:t xml:space="preserve"> </w:t>
      </w:r>
      <w:r>
        <w:t xml:space="preserve">can exec into pods) is the highest</w:t>
      </w:r>
      <w:r>
        <w:t xml:space="preserve"> </w:t>
      </w:r>
      <w:r>
        <w:t xml:space="preserve">near-term risk. It effectively gives all members of the</w:t>
      </w:r>
      <w:r>
        <w:t xml:space="preserve"> </w:t>
      </w:r>
      <w:r>
        <w:rPr>
          <w:rStyle w:val="VerbatimChar"/>
        </w:rPr>
        <w:t xml:space="preserve">Engineering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ClientServices</w:t>
      </w:r>
      <w:r>
        <w:t xml:space="preserve"> </w:t>
      </w:r>
      <w:r>
        <w:t xml:space="preserve">Entra groups shell access to running production</w:t>
      </w:r>
      <w:r>
        <w:t xml:space="preserve"> </w:t>
      </w:r>
      <w:r>
        <w:t xml:space="preserve">containers. This should be addressed immediately by setting</w:t>
      </w:r>
      <w:r>
        <w:t xml:space="preserve"> </w:t>
      </w:r>
      <w:r>
        <w:rPr>
          <w:rStyle w:val="VerbatimChar"/>
        </w:rPr>
        <w:t xml:space="preserve">server.exec.enabled: false</w:t>
      </w:r>
      <w:r>
        <w:t xml:space="preserve"> </w:t>
      </w:r>
      <w:r>
        <w:t xml:space="preserve">in the ArgoCD Helm values for the prod</w:t>
      </w:r>
      <w:r>
        <w:t xml:space="preserve"> </w:t>
      </w:r>
      <w:r>
        <w:t xml:space="preserve">environment, or by restricting exec to</w:t>
      </w:r>
      <w:r>
        <w:t xml:space="preserve"> </w:t>
      </w:r>
      <w:r>
        <w:rPr>
          <w:rStyle w:val="VerbatimChar"/>
        </w:rPr>
        <w:t xml:space="preserve">role:admin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Define exception handling (access outside the matrix), provisioning and</w:t>
      </w:r>
      <w:r>
        <w:t xml:space="preserve"> </w:t>
      </w:r>
      <w:r>
        <w:t xml:space="preserve">deprovisioning procedures, and a periodic review cadence (at minimum</w:t>
      </w:r>
      <w:r>
        <w:t xml:space="preserve"> </w:t>
      </w:r>
      <w:r>
        <w:t xml:space="preserve">annually; quarterly recommended for prod access).</w:t>
      </w:r>
    </w:p>
    <w:bookmarkEnd w:id="18"/>
    <w:bookmarkStart w:id="19" w:name="f-003-f-013-mfa"/>
    <w:p>
      <w:pPr>
        <w:pStyle w:val="Heading3"/>
      </w:pPr>
      <w:r>
        <w:t xml:space="preserve">F-003 / F-013 — MFA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MFA requirements are not formally defined or consistently</w:t>
      </w:r>
      <w:r>
        <w:t xml:space="preserve"> </w:t>
      </w:r>
      <w:r>
        <w:t xml:space="preserve">implemented. The SOP documents MFA as a</w:t>
      </w:r>
      <w:r>
        <w:t xml:space="preserve"> </w:t>
      </w:r>
      <w:r>
        <w:t xml:space="preserve">“shall”</w:t>
      </w:r>
      <w:r>
        <w:t xml:space="preserve"> </w:t>
      </w:r>
      <w:r>
        <w:t xml:space="preserve">/</w:t>
      </w:r>
      <w:r>
        <w:t xml:space="preserve"> </w:t>
      </w:r>
      <w:r>
        <w:t xml:space="preserve">“should”</w:t>
      </w:r>
      <w:r>
        <w:t xml:space="preserve"> </w:t>
      </w:r>
      <w:r>
        <w:t xml:space="preserve">requirement</w:t>
      </w:r>
      <w:r>
        <w:t xml:space="preserve"> </w:t>
      </w:r>
      <w:r>
        <w:t xml:space="preserve">but it is not enforced across all systems. A prior client audit identified</w:t>
      </w:r>
      <w:r>
        <w:t xml:space="preserve"> </w:t>
      </w:r>
      <w:r>
        <w:t xml:space="preserve">this gap.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Azure Entra B2C handles</w:t>
      </w:r>
      <w:r>
        <w:t xml:space="preserve"> </w:t>
      </w:r>
      <w:r>
        <w:rPr>
          <w:i/>
          <w:iCs/>
        </w:rPr>
        <w:t xml:space="preserve">end-user</w:t>
      </w:r>
      <w:r>
        <w:t xml:space="preserve"> </w:t>
      </w:r>
      <w:r>
        <w:t xml:space="preserve">MFA for application</w:t>
      </w:r>
      <w:r>
        <w:t xml:space="preserve"> </w:t>
      </w:r>
      <w:r>
        <w:t xml:space="preserve">logins. The audit gap is</w:t>
      </w:r>
      <w:r>
        <w:t xml:space="preserve"> </w:t>
      </w:r>
      <w:r>
        <w:rPr>
          <w:i/>
          <w:iCs/>
        </w:rPr>
        <w:t xml:space="preserve">staff</w:t>
      </w:r>
      <w:r>
        <w:t xml:space="preserve"> </w:t>
      </w:r>
      <w:r>
        <w:t xml:space="preserve">MFA for administrative access to the</w:t>
      </w:r>
      <w:r>
        <w:t xml:space="preserve"> </w:t>
      </w:r>
      <w:r>
        <w:t xml:space="preserve">platform itself. These are separate concerns.</w:t>
      </w:r>
    </w:p>
    <w:p>
      <w:pPr>
        <w:pStyle w:val="BodyText"/>
      </w:pPr>
      <w:r>
        <w:t xml:space="preserve">F-013 notes a planned migration away from B2C. The</w:t>
      </w:r>
      <w:r>
        <w:t xml:space="preserve"> </w:t>
      </w:r>
      <w:r>
        <w:rPr>
          <w:rStyle w:val="VerbatimChar"/>
        </w:rPr>
        <w:t xml:space="preserve">idp-migration.md</w:t>
      </w:r>
      <w:r>
        <w:t xml:space="preserve"> </w:t>
      </w:r>
      <w:r>
        <w:t xml:space="preserve">document records MFA (TOTP preferred) as a hard functional requirement</w:t>
      </w:r>
      <w:r>
        <w:t xml:space="preserve"> </w:t>
      </w:r>
      <w:r>
        <w:t xml:space="preserve">(F-4) for the replacement IdP. The migration is the right long-term fix,</w:t>
      </w:r>
      <w:r>
        <w:t xml:space="preserve"> </w:t>
      </w:r>
      <w:r>
        <w:t xml:space="preserve">but an interim state must be documented for the audit.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GitHub (immediate):</w:t>
      </w:r>
      <w:r>
        <w:t xml:space="preserve"> </w:t>
      </w:r>
      <w:r>
        <w:t xml:space="preserve">Enforce MFA at the</w:t>
      </w:r>
      <w:r>
        <w:t xml:space="preserve"> </w:t>
      </w:r>
      <w:r>
        <w:rPr>
          <w:rStyle w:val="VerbatimChar"/>
        </w:rPr>
        <w:t xml:space="preserve">korio-clinical</w:t>
      </w:r>
      <w:r>
        <w:t xml:space="preserve"> </w:t>
      </w:r>
      <w:r>
        <w:t xml:space="preserve">org level</w:t>
      </w:r>
      <w:r>
        <w:t xml:space="preserve"> </w:t>
      </w:r>
      <w:r>
        <w:t xml:space="preserve">for all members. This is a single org setting and cascades to ArgoCD’s</w:t>
      </w:r>
      <w:r>
        <w:t xml:space="preserve"> </w:t>
      </w:r>
      <w:r>
        <w:t xml:space="preserve">GitHub SSO connector.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Azure Entra (staff accounts):</w:t>
      </w:r>
      <w:r>
        <w:t xml:space="preserve"> </w:t>
      </w:r>
      <w:r>
        <w:t xml:space="preserve">Enable a Conditional Access policy</w:t>
      </w:r>
      <w:r>
        <w:t xml:space="preserve"> </w:t>
      </w:r>
      <w:r>
        <w:t xml:space="preserve">requiring MFA for all Azure portal logins and Entra-authenticated</w:t>
      </w:r>
      <w:r>
        <w:t xml:space="preserve"> </w:t>
      </w:r>
      <w:r>
        <w:t xml:space="preserve">service logins (ArgoCD’s Microsoft connector, developer workstation</w:t>
      </w:r>
      <w:r>
        <w:t xml:space="preserve"> </w:t>
      </w:r>
      <w:r>
        <w:t xml:space="preserve">logins).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MongoDB Atlas:</w:t>
      </w:r>
      <w:r>
        <w:t xml:space="preserve"> </w:t>
      </w:r>
      <w:r>
        <w:t xml:space="preserve">Enforce MFA on Atlas UI logins for all admin users</w:t>
      </w:r>
      <w:r>
        <w:t xml:space="preserve"> </w:t>
      </w:r>
      <w:r>
        <w:t xml:space="preserve">via Atlas organisation settings.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Other SaaS:</w:t>
      </w:r>
      <w:r>
        <w:t xml:space="preserve"> </w:t>
      </w:r>
      <w:r>
        <w:t xml:space="preserve">Enforce MFA on Cloudflare, Datadog, PagerDuty, and</w:t>
      </w:r>
      <w:r>
        <w:t xml:space="preserve"> </w:t>
      </w:r>
      <w:r>
        <w:t xml:space="preserve">Twingate admin accounts. Document the current state of each.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SOP update (F-013):</w:t>
      </w:r>
      <w:r>
        <w:t xml:space="preserve"> </w:t>
      </w:r>
      <w:r>
        <w:t xml:space="preserve">Update the SOP to accurately reflect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implemented state (B2C MFA enabled for end users; staff MFA</w:t>
      </w:r>
      <w:r>
        <w:t xml:space="preserve"> </w:t>
      </w:r>
      <w:r>
        <w:t xml:space="preserve">at GitHub and Entra enforced as of this remediation). Reference the</w:t>
      </w:r>
      <w:r>
        <w:t xml:space="preserve"> </w:t>
      </w:r>
      <w:r>
        <w:t xml:space="preserve">IdP migration plan as a time-bound item with a target date, not as an</w:t>
      </w:r>
      <w:r>
        <w:t xml:space="preserve"> </w:t>
      </w:r>
      <w:r>
        <w:t xml:space="preserve">aspirational goal.</w:t>
      </w:r>
    </w:p>
    <w:bookmarkEnd w:id="19"/>
    <w:bookmarkStart w:id="20" w:name="X64a6983ca2772631c4b341b706981ad57c5e1f6"/>
    <w:p>
      <w:pPr>
        <w:pStyle w:val="Heading3"/>
      </w:pPr>
      <w:r>
        <w:t xml:space="preserve">F-014 — Access approval, review, and secrets management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Access approval and review processes are not clearly defined.</w:t>
      </w:r>
      <w:r>
        <w:t xml:space="preserve"> </w:t>
      </w:r>
      <w:r>
        <w:t xml:space="preserve">Who approves, who reviews, and where evidence is stored are all</w:t>
      </w:r>
      <w:r>
        <w:t xml:space="preserve"> </w:t>
      </w:r>
      <w:r>
        <w:t xml:space="preserve">unspecified. The majority of developers currently have production access.</w:t>
      </w:r>
      <w:r>
        <w:t xml:space="preserve"> </w:t>
      </w:r>
      <w:r>
        <w:t xml:space="preserve">Secrets management controls are insufficient. Non-DevOps staff can grant</w:t>
      </w:r>
      <w:r>
        <w:t xml:space="preserve"> </w:t>
      </w:r>
      <w:r>
        <w:t xml:space="preserve">system access.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Immediate prod access reduction:</w:t>
      </w:r>
    </w:p>
    <w:p>
      <w:pPr>
        <w:pStyle w:val="Compact"/>
        <w:numPr>
          <w:ilvl w:val="1"/>
          <w:numId w:val="1009"/>
        </w:numPr>
      </w:pPr>
      <w:r>
        <w:t xml:space="preserve">Audit membership of:</w:t>
      </w:r>
      <w:r>
        <w:t xml:space="preserve"> </w:t>
      </w:r>
      <w:r>
        <w:rPr>
          <w:rStyle w:val="VerbatimChar"/>
        </w:rPr>
        <w:t xml:space="preserve">devops-team</w:t>
      </w:r>
      <w:r>
        <w:t xml:space="preserve"> </w:t>
      </w:r>
      <w:r>
        <w:t xml:space="preserve">Entra group,</w:t>
      </w:r>
      <w:r>
        <w:t xml:space="preserve"> </w:t>
      </w:r>
      <w:r>
        <w:rPr>
          <w:rStyle w:val="VerbatimChar"/>
        </w:rPr>
        <w:t xml:space="preserve">korio-clinical:devops</w:t>
      </w:r>
      <w:r>
        <w:t xml:space="preserve"> </w:t>
      </w:r>
      <w:r>
        <w:t xml:space="preserve">GitHub team, and</w:t>
      </w:r>
      <w:r>
        <w:t xml:space="preserve"> </w:t>
      </w:r>
      <w:r>
        <w:rPr>
          <w:rStyle w:val="VerbatimChar"/>
        </w:rPr>
        <w:t xml:space="preserve">korio-clinical:deploy-prod</w:t>
      </w:r>
      <w:r>
        <w:t xml:space="preserve"> </w:t>
      </w:r>
      <w:r>
        <w:t xml:space="preserve">GitHub team. These grant</w:t>
      </w:r>
      <w:r>
        <w:t xml:space="preserve"> </w:t>
      </w:r>
      <w:r>
        <w:t xml:space="preserve">ArgoCD admin and prod deployment rights respectively. Remove anyone</w:t>
      </w:r>
      <w:r>
        <w:t xml:space="preserve"> </w:t>
      </w:r>
      <w:r>
        <w:t xml:space="preserve">who does not have an operational requirement.</w:t>
      </w:r>
    </w:p>
    <w:p>
      <w:pPr>
        <w:pStyle w:val="Compact"/>
        <w:numPr>
          <w:ilvl w:val="1"/>
          <w:numId w:val="1009"/>
        </w:numPr>
      </w:pPr>
      <w:r>
        <w:t xml:space="preserve">Audit Azure RBAC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 Access Administrator</w:t>
      </w:r>
      <w:r>
        <w:t xml:space="preserve"> </w:t>
      </w:r>
      <w:r>
        <w:t xml:space="preserve">assignments</w:t>
      </w:r>
      <w:r>
        <w:t xml:space="preserve"> </w:t>
      </w:r>
      <w:r>
        <w:t xml:space="preserve">at the subscription and resource group level. These are the identities</w:t>
      </w:r>
      <w:r>
        <w:t xml:space="preserve"> </w:t>
      </w:r>
      <w:r>
        <w:t xml:space="preserve">that can grant further access. Restrict to a small, named set.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Secrets management:</w:t>
      </w:r>
    </w:p>
    <w:p>
      <w:pPr>
        <w:pStyle w:val="Compact"/>
        <w:numPr>
          <w:ilvl w:val="1"/>
          <w:numId w:val="1010"/>
        </w:numPr>
      </w:pPr>
      <w:r>
        <w:t xml:space="preserve">The current path is: Azure Key Vault -&gt; External Secrets Operator -&gt;</w:t>
      </w:r>
      <w:r>
        <w:t xml:space="preserve"> </w:t>
      </w:r>
      <w:r>
        <w:t xml:space="preserve">Kubernetes Secret -&gt; pod environment variable. Key Vault access is the</w:t>
      </w:r>
      <w:r>
        <w:t xml:space="preserve"> </w:t>
      </w:r>
      <w:r>
        <w:t xml:space="preserve">chokepoint.</w:t>
      </w:r>
    </w:p>
    <w:p>
      <w:pPr>
        <w:pStyle w:val="Compact"/>
        <w:numPr>
          <w:ilvl w:val="1"/>
          <w:numId w:val="1010"/>
        </w:numPr>
      </w:pPr>
      <w:r>
        <w:t xml:space="preserve">Audit which Azure identities (users, service principals, managed</w:t>
      </w:r>
      <w:r>
        <w:t xml:space="preserve"> </w:t>
      </w:r>
      <w:r>
        <w:t xml:space="preserve">identities) have</w:t>
      </w:r>
      <w:r>
        <w:t xml:space="preserve"> </w:t>
      </w:r>
      <w:r>
        <w:rPr>
          <w:rStyle w:val="VerbatimChar"/>
        </w:rPr>
        <w:t xml:space="preserve">Key Vault Secrets User</w:t>
      </w:r>
      <w:r>
        <w:t xml:space="preserve"> </w:t>
      </w:r>
      <w:r>
        <w:t xml:space="preserve">or higher on prod Key Vaults.</w:t>
      </w:r>
    </w:p>
    <w:p>
      <w:pPr>
        <w:pStyle w:val="Compact"/>
        <w:numPr>
          <w:ilvl w:val="1"/>
          <w:numId w:val="1010"/>
        </w:numPr>
      </w:pPr>
      <w:r>
        <w:t xml:space="preserve">Developer interactive access to prod Key Vaults should be removed.</w:t>
      </w:r>
      <w:r>
        <w:t xml:space="preserve"> </w:t>
      </w:r>
      <w:r>
        <w:t xml:space="preserve">Access should flow through automated pipelines only.</w:t>
      </w:r>
    </w:p>
    <w:p>
      <w:pPr>
        <w:pStyle w:val="Compact"/>
        <w:numPr>
          <w:ilvl w:val="1"/>
          <w:numId w:val="1010"/>
        </w:numPr>
      </w:pPr>
      <w:r>
        <w:t xml:space="preserve">“Manage through Prod Argo”</w:t>
      </w:r>
      <w:r>
        <w:t xml:space="preserve"> </w:t>
      </w:r>
      <w:r>
        <w:t xml:space="preserve">(referenced in the finding) means restricting</w:t>
      </w:r>
      <w:r>
        <w:t xml:space="preserve"> </w:t>
      </w:r>
      <w:r>
        <w:t xml:space="preserve">who can modify ArgoCD Application/ApplicationSet definitions in prod,</w:t>
      </w:r>
      <w:r>
        <w:t xml:space="preserve"> </w:t>
      </w:r>
      <w:r>
        <w:t xml:space="preserve">which controls what secrets are mounted into pods. Tighten this to</w:t>
      </w:r>
      <w:r>
        <w:t xml:space="preserve"> </w:t>
      </w:r>
      <w:r>
        <w:rPr>
          <w:rStyle w:val="VerbatimChar"/>
        </w:rPr>
        <w:t xml:space="preserve">role:admin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 process documentation:</w:t>
      </w:r>
    </w:p>
    <w:p>
      <w:pPr>
        <w:pStyle w:val="Compact"/>
        <w:numPr>
          <w:ilvl w:val="1"/>
          <w:numId w:val="1011"/>
        </w:numPr>
      </w:pPr>
      <w:r>
        <w:t xml:space="preserve">Define: who can approve access requests (named roles, not individuals),</w:t>
      </w:r>
      <w:r>
        <w:t xml:space="preserve"> </w:t>
      </w:r>
      <w:r>
        <w:t xml:space="preserve">required approval for each system tier, how approvals are evidenced</w:t>
      </w:r>
      <w:r>
        <w:t xml:space="preserve"> </w:t>
      </w:r>
      <w:r>
        <w:t xml:space="preserve">(Jira ticket, email, etc.), and the deprovisioning trigger (offboarding,</w:t>
      </w:r>
      <w:r>
        <w:t xml:space="preserve"> </w:t>
      </w:r>
      <w:r>
        <w:t xml:space="preserve">role change, contract end).</w:t>
      </w:r>
    </w:p>
    <w:p>
      <w:pPr>
        <w:pStyle w:val="Compact"/>
        <w:numPr>
          <w:ilvl w:val="1"/>
          <w:numId w:val="1011"/>
        </w:numPr>
      </w:pPr>
      <w:r>
        <w:t xml:space="preserve">Define a periodic review cadence. At minimum: prod access reviewed</w:t>
      </w:r>
      <w:r>
        <w:t xml:space="preserve"> </w:t>
      </w:r>
      <w:r>
        <w:t xml:space="preserve">quarterly; all other access reviewed annually.</w:t>
      </w:r>
    </w:p>
    <w:p>
      <w:pPr>
        <w:pStyle w:val="Compact"/>
        <w:numPr>
          <w:ilvl w:val="1"/>
          <w:numId w:val="1011"/>
        </w:numPr>
      </w:pPr>
      <w:r>
        <w:t xml:space="preserve">Note: WI-IT-004 is referenced in the finding as already defining access</w:t>
      </w:r>
      <w:r>
        <w:t xml:space="preserve"> </w:t>
      </w:r>
      <w:r>
        <w:t xml:space="preserve">reviews. Verify this work instruction is current and consistent with</w:t>
      </w:r>
      <w:r>
        <w:t xml:space="preserve"> </w:t>
      </w:r>
      <w:r>
        <w:t xml:space="preserve">the steps above.</w:t>
      </w:r>
    </w:p>
    <w:bookmarkEnd w:id="20"/>
    <w:bookmarkStart w:id="21" w:name="f-015-contractor-device-management"/>
    <w:p>
      <w:pPr>
        <w:pStyle w:val="Heading3"/>
      </w:pPr>
      <w:r>
        <w:t xml:space="preserve">F-015 — Contractor device management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 contradictions leave contractor device management undefined.</w:t>
      </w:r>
      <w:r>
        <w:t xml:space="preserve"> </w:t>
      </w:r>
      <w:r>
        <w:t xml:space="preserve">Contractors (Pogos) are not issued company laptops. MDM is not enforced as</w:t>
      </w:r>
      <w:r>
        <w:t xml:space="preserve"> </w:t>
      </w:r>
      <w:r>
        <w:t xml:space="preserve">a login condition. Client auditors have flagged this.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Contractors have read-only prod access.</w:t>
      </w:r>
      <w:r>
        <w:t xml:space="preserve"> </w:t>
      </w:r>
      <w:r>
        <w:t xml:space="preserve">- Pogos supplies and manages contractor laptops under their own MDM.</w:t>
      </w:r>
      <w:r>
        <w:t xml:space="preserve"> </w:t>
      </w:r>
      <w:r>
        <w:t xml:space="preserve">- Korio has Azure Intune MDM available but not enforced as a Conditional</w:t>
      </w:r>
      <w:r>
        <w:t xml:space="preserve"> </w:t>
      </w:r>
      <w:r>
        <w:t xml:space="preserve">Access condition.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Conditional Access (MDM enforcement):</w:t>
      </w:r>
      <w:r>
        <w:t xml:space="preserve"> </w:t>
      </w:r>
      <w:r>
        <w:t xml:space="preserve">Implement an Azure Entra</w:t>
      </w:r>
      <w:r>
        <w:t xml:space="preserve"> </w:t>
      </w:r>
      <w:r>
        <w:t xml:space="preserve">Conditional Access policy requiring device compliance (MDM-enrolled and</w:t>
      </w:r>
      <w:r>
        <w:t xml:space="preserve"> </w:t>
      </w:r>
      <w:r>
        <w:t xml:space="preserve">compliant) for all logins to Korio’s Azure resources and</w:t>
      </w:r>
      <w:r>
        <w:t xml:space="preserve"> </w:t>
      </w:r>
      <w:r>
        <w:t xml:space="preserve">Entra-authenticated services. This directly addresses the suggestion in</w:t>
      </w:r>
      <w:r>
        <w:t xml:space="preserve"> </w:t>
      </w:r>
      <w:r>
        <w:t xml:space="preserve">the finding (</w:t>
      </w:r>
      <w:r>
        <w:t xml:space="preserve">“Can we change EntraID domain so people can’t log in unless</w:t>
      </w:r>
      <w:r>
        <w:t xml:space="preserve"> </w:t>
      </w:r>
      <w:r>
        <w:t xml:space="preserve">MDM is installed?”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Contractor device path:</w:t>
      </w:r>
      <w:r>
        <w:t xml:space="preserve"> </w:t>
      </w:r>
      <w:r>
        <w:t xml:space="preserve">Two options for Pogos-managed devices:</w:t>
      </w:r>
    </w:p>
    <w:p>
      <w:pPr>
        <w:pStyle w:val="Compact"/>
        <w:numPr>
          <w:ilvl w:val="1"/>
          <w:numId w:val="1013"/>
        </w:numPr>
      </w:pPr>
      <w:r>
        <w:t xml:space="preserve">Option A: Require Pogos to register contractor devices in Korio’s</w:t>
      </w:r>
      <w:r>
        <w:t xml:space="preserve"> </w:t>
      </w:r>
      <w:r>
        <w:t xml:space="preserve">Entra tenant as compliant B2B guest devices. Pogos attests compliance;</w:t>
      </w:r>
      <w:r>
        <w:t xml:space="preserve"> </w:t>
      </w:r>
      <w:r>
        <w:t xml:space="preserve">Korio’s Conditional Access policy then applies.</w:t>
      </w:r>
    </w:p>
    <w:p>
      <w:pPr>
        <w:pStyle w:val="Compact"/>
        <w:numPr>
          <w:ilvl w:val="1"/>
          <w:numId w:val="1013"/>
        </w:numPr>
      </w:pPr>
      <w:r>
        <w:t xml:space="preserve">Option B: Define Pogos’s own MDM attestation as an acceptable control</w:t>
      </w:r>
      <w:r>
        <w:t xml:space="preserve"> </w:t>
      </w:r>
      <w:r>
        <w:t xml:space="preserve">by contract, and scope Conditional Access to exclude the Pogos guest</w:t>
      </w:r>
      <w:r>
        <w:t xml:space="preserve"> </w:t>
      </w:r>
      <w:r>
        <w:t xml:space="preserve">account group with a documented compensating control.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SOP update:</w:t>
      </w:r>
      <w:r>
        <w:t xml:space="preserve"> </w:t>
      </w:r>
      <w:r>
        <w:t xml:space="preserve">Resolve the contradiction between Sections 5.2.5 and</w:t>
      </w:r>
      <w:r>
        <w:t xml:space="preserve"> </w:t>
      </w:r>
      <w:r>
        <w:t xml:space="preserve">5.3. Define a single, unambiguous policy for contractor devices that</w:t>
      </w:r>
      <w:r>
        <w:t xml:space="preserve"> </w:t>
      </w:r>
      <w:r>
        <w:t xml:space="preserve">covers: device ownership, MDM requirement, what data can be accessed</w:t>
      </w:r>
      <w:r>
        <w:t xml:space="preserve"> </w:t>
      </w:r>
      <w:r>
        <w:t xml:space="preserve">from non-corporate endpoints, and what happens if a contractor device is</w:t>
      </w:r>
      <w:r>
        <w:t xml:space="preserve"> </w:t>
      </w:r>
      <w:r>
        <w:t xml:space="preserve">lost or stolen.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Access scope review:</w:t>
      </w:r>
      <w:r>
        <w:t xml:space="preserve"> </w:t>
      </w:r>
      <w:r>
        <w:t xml:space="preserve">Review and reduce contractor permissions to</w:t>
      </w:r>
      <w:r>
        <w:t xml:space="preserve"> </w:t>
      </w:r>
      <w:r>
        <w:t xml:space="preserve">the minimum required. Read-only prod access should be further scoped to</w:t>
      </w:r>
      <w:r>
        <w:t xml:space="preserve"> </w:t>
      </w:r>
      <w:r>
        <w:t xml:space="preserve">specific namespaces or ArgoCD projects where possible.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ummary-suggested-remediation-priority"/>
    <w:p>
      <w:pPr>
        <w:pStyle w:val="Heading2"/>
      </w:pPr>
      <w:r>
        <w:t xml:space="preserve">Summary: Suggested Remediation Priority</w:t>
      </w:r>
    </w:p>
    <w:p>
      <w:pPr>
        <w:pStyle w:val="FirstParagraph"/>
      </w:pPr>
      <w:r>
        <w:t xml:space="preserve">All findings are rated P1 (0-30 days). Sequencing by effort and blast</w:t>
      </w:r>
      <w:r>
        <w:t xml:space="preserve"> </w:t>
      </w:r>
      <w:r>
        <w:t xml:space="preserve">radius: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Finding(s)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Disable or restrict ArgoCD exec terminal in prod</w:t>
            </w:r>
          </w:p>
        </w:tc>
        <w:tc>
          <w:tcPr/>
          <w:p>
            <w:pPr>
              <w:pStyle w:val="Compact"/>
            </w:pPr>
            <w:r>
              <w:t xml:space="preserve">F-002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 MFA at GitHub org level</w:t>
            </w:r>
          </w:p>
        </w:tc>
        <w:tc>
          <w:tcPr/>
          <w:p>
            <w:pPr>
              <w:pStyle w:val="Compact"/>
            </w:pPr>
            <w:r>
              <w:t xml:space="preserve">F-003, F-013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and reduce prod access (ArgoCD admin, Key Vault, Atlas)</w:t>
            </w:r>
          </w:p>
        </w:tc>
        <w:tc>
          <w:tcPr/>
          <w:p>
            <w:pPr>
              <w:pStyle w:val="Compact"/>
            </w:pPr>
            <w:r>
              <w:t xml:space="preserve">F-014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GxP impact classification field to PR templates</w:t>
            </w:r>
          </w:p>
        </w:tc>
        <w:tc>
          <w:tcPr/>
          <w:p>
            <w:pPr>
              <w:pStyle w:val="Compact"/>
            </w:pPr>
            <w:r>
              <w:t xml:space="preserve">F-022, F-023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 rollback procedure by change category (including Atlas PITR path)</w:t>
            </w:r>
          </w:p>
        </w:tc>
        <w:tc>
          <w:tcPr/>
          <w:p>
            <w:pPr>
              <w:pStyle w:val="Compact"/>
            </w:pPr>
            <w:r>
              <w:t xml:space="preserve">F-024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Draft RBAC matrix (initial enumeration across all systems)</w:t>
            </w:r>
          </w:p>
        </w:tc>
        <w:tc>
          <w:tcPr/>
          <w:p>
            <w:pPr>
              <w:pStyle w:val="Compact"/>
            </w:pPr>
            <w:r>
              <w:t xml:space="preserve">F-002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Enable Conditional Access / MDM enforcement for staff</w:t>
            </w:r>
          </w:p>
        </w:tc>
        <w:tc>
          <w:tcPr/>
          <w:p>
            <w:pPr>
              <w:pStyle w:val="Compact"/>
            </w:pPr>
            <w:r>
              <w:t xml:space="preserve">F-015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Define expand-contract schema change standard</w:t>
            </w:r>
          </w:p>
        </w:tc>
        <w:tc>
          <w:tcPr/>
          <w:p>
            <w:pPr>
              <w:pStyle w:val="Compact"/>
            </w:pPr>
            <w:r>
              <w:t xml:space="preserve">F-024</w:t>
            </w:r>
          </w:p>
        </w:tc>
        <w:tc>
          <w:tcPr/>
          <w:p>
            <w:pPr>
              <w:pStyle w:val="Compact"/>
            </w:pPr>
            <w:r>
              <w:t xml:space="preserve">Medium (process)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Update SOP to reflect actual MFA implementation state and migration plan</w:t>
            </w:r>
          </w:p>
        </w:tc>
        <w:tc>
          <w:tcPr/>
          <w:p>
            <w:pPr>
              <w:pStyle w:val="Compact"/>
            </w:pPr>
            <w:r>
              <w:t xml:space="preserve">F-013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Define CAB and formalise third-party change control</w:t>
            </w:r>
          </w:p>
        </w:tc>
        <w:tc>
          <w:tcPr/>
          <w:p>
            <w:pPr>
              <w:pStyle w:val="Compact"/>
            </w:pPr>
            <w:r>
              <w:t xml:space="preserve">F-004, F-023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3"/>
    <w:bookmarkEnd w:id="24"/>
    <w:bookmarkStart w:id="61" w:name="audit-findings-response-high-risk-items"/>
    <w:p>
      <w:pPr>
        <w:pStyle w:val="Heading1"/>
      </w:pPr>
      <w:r>
        <w:t xml:space="preserve">Audit Findings Response: High Risk Items</w:t>
      </w:r>
    </w:p>
    <w:p>
      <w:pPr>
        <w:pStyle w:val="FirstParagraph"/>
      </w:pPr>
      <w:r>
        <w:t xml:space="preserve">This document covers the High-rated findings from the audit findings</w:t>
      </w:r>
      <w:r>
        <w:t xml:space="preserve"> </w:t>
      </w:r>
      <w:r>
        <w:t xml:space="preserve">spreadsheet, with infrastructure-specific context and recommended</w:t>
      </w:r>
      <w:r>
        <w:t xml:space="preserve"> </w:t>
      </w:r>
      <w:r>
        <w:t xml:space="preserve">remediation steps. Findings are grouped by workstream. P2 (30-60 day)</w:t>
      </w:r>
      <w:r>
        <w:t xml:space="preserve"> </w:t>
      </w:r>
      <w:r>
        <w:t xml:space="preserve">items precede P3 (60-120 day) items within each theme.</w:t>
      </w:r>
    </w:p>
    <w:p>
      <w:r>
        <w:pict>
          <v:rect style="width:0;height:1.5pt" o:hralign="center" o:hrstd="t" o:hr="t"/>
        </w:pict>
      </w:r>
    </w:p>
    <w:bookmarkStart w:id="35" w:name="Xf6fed6bdeae2c8a0665972fa1be98080a792db1"/>
    <w:p>
      <w:pPr>
        <w:pStyle w:val="Heading2"/>
      </w:pPr>
      <w:r>
        <w:t xml:space="preserve">Theme 1: Business Continuity and Disaster Recovery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F-010, F-028, F-029, F-030, F-031, F-032, F-033, F-035, F-045, F-047, F-050</w:t>
      </w:r>
    </w:p>
    <w:bookmarkStart w:id="25" w:name="infrastructure-context"/>
    <w:p>
      <w:pPr>
        <w:pStyle w:val="Heading3"/>
      </w:pPr>
      <w:r>
        <w:t xml:space="preserve">Infrastructure context</w:t>
      </w:r>
    </w:p>
    <w:p>
      <w:pPr>
        <w:pStyle w:val="FirstParagraph"/>
      </w:pPr>
      <w:r>
        <w:t xml:space="preserve">The platform’s DR profile is shaped by several architectural facts:</w:t>
      </w:r>
    </w:p>
    <w:p>
      <w:pPr>
        <w:pStyle w:val="Compact"/>
        <w:numPr>
          <w:ilvl w:val="0"/>
          <w:numId w:val="1014"/>
        </w:numPr>
      </w:pPr>
      <w:r>
        <w:t xml:space="preserve">AKS clusters run in Azure US East. MongoDB Atlas clusters are hosted on</w:t>
      </w:r>
      <w:r>
        <w:t xml:space="preserve"> </w:t>
      </w:r>
      <w:r>
        <w:t xml:space="preserve">Azure and connected via Private Link. There is no multi-region or</w:t>
      </w:r>
      <w:r>
        <w:t xml:space="preserve"> </w:t>
      </w:r>
      <w:r>
        <w:t xml:space="preserve">active-active configuration documented.</w:t>
      </w:r>
    </w:p>
    <w:p>
      <w:pPr>
        <w:pStyle w:val="Compact"/>
        <w:numPr>
          <w:ilvl w:val="0"/>
          <w:numId w:val="1014"/>
        </w:numPr>
      </w:pPr>
      <w:r>
        <w:t xml:space="preserve">For production and staging, each sub-environment has its own dedicated</w:t>
      </w:r>
      <w:r>
        <w:t xml:space="preserve"> </w:t>
      </w:r>
      <w:r>
        <w:t xml:space="preserve">Atlas cluster (</w:t>
      </w:r>
      <w:r>
        <w:rPr>
          <w:rStyle w:val="VerbatimChar"/>
        </w:rPr>
        <w:t xml:space="preserve">vozni-{env}-{subenv}</w:t>
      </w:r>
      <w:r>
        <w:t xml:space="preserve">). Dev, test, and platform share a</w:t>
      </w:r>
      <w:r>
        <w:t xml:space="preserve"> </w:t>
      </w:r>
      <w:r>
        <w:t xml:space="preserve">single cluster per environment. Atlas provides built-in replica sets</w:t>
      </w:r>
      <w:r>
        <w:t xml:space="preserve"> </w:t>
      </w:r>
      <w:r>
        <w:t xml:space="preserve">(node-level HA) and Point-in-Time Recovery (PITR) with scheduled</w:t>
      </w:r>
      <w:r>
        <w:t xml:space="preserve"> </w:t>
      </w:r>
      <w:r>
        <w:t xml:space="preserve">snapshots.</w:t>
      </w:r>
    </w:p>
    <w:p>
      <w:pPr>
        <w:pStyle w:val="Compact"/>
        <w:numPr>
          <w:ilvl w:val="0"/>
          <w:numId w:val="1014"/>
        </w:numPr>
      </w:pPr>
      <w:r>
        <w:t xml:space="preserve">AKS cluster infrastructure is fully reproducible via Terraform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terraform-infra/env/</w:t>
      </w:r>
      <w:r>
        <w:t xml:space="preserve">). A full cluster rebuild from scratch is</w:t>
      </w:r>
      <w:r>
        <w:t xml:space="preserve"> </w:t>
      </w:r>
      <w:r>
        <w:t xml:space="preserve">possible but takes O(30-60 minutes) and requires all prerequisites</w:t>
      </w:r>
      <w:r>
        <w:t xml:space="preserve"> </w:t>
      </w:r>
      <w:r>
        <w:t xml:space="preserve">(Key Vault secrets, TLS certs, GitHub App credentials) to be in place.</w:t>
      </w:r>
    </w:p>
    <w:p>
      <w:pPr>
        <w:pStyle w:val="Compact"/>
        <w:numPr>
          <w:ilvl w:val="0"/>
          <w:numId w:val="1014"/>
        </w:numPr>
      </w:pPr>
      <w:r>
        <w:t xml:space="preserve">SFTP data is persisted on Azure managed disks (per sub-env) and mirrored</w:t>
      </w:r>
      <w:r>
        <w:t xml:space="preserve"> </w:t>
      </w:r>
      <w:r>
        <w:t xml:space="preserve">to Azure Data Lake Storage.</w:t>
      </w:r>
    </w:p>
    <w:p>
      <w:pPr>
        <w:pStyle w:val="Compact"/>
        <w:numPr>
          <w:ilvl w:val="0"/>
          <w:numId w:val="1014"/>
        </w:numPr>
      </w:pPr>
      <w:r>
        <w:t xml:space="preserve">Regulated study documentation lives in SharePoint (not in Azure or</w:t>
      </w:r>
      <w:r>
        <w:t xml:space="preserve"> </w:t>
      </w:r>
      <w:r>
        <w:t xml:space="preserve">Atlas).</w:t>
      </w:r>
    </w:p>
    <w:p>
      <w:pPr>
        <w:pStyle w:val="Compact"/>
        <w:numPr>
          <w:ilvl w:val="0"/>
          <w:numId w:val="1014"/>
        </w:numPr>
      </w:pPr>
      <w:r>
        <w:t xml:space="preserve">GitOps means that application workload state is fully recoverable from</w:t>
      </w:r>
      <w:r>
        <w:t xml:space="preserve"> </w:t>
      </w:r>
      <w:r>
        <w:t xml:space="preserve">git: ArgoCD re-syncs all services onto a freshly rebuilt cluster without</w:t>
      </w:r>
      <w:r>
        <w:t xml:space="preserve"> </w:t>
      </w:r>
      <w:r>
        <w:t xml:space="preserve">manual intervention. The cluster state itself is the gap, not the</w:t>
      </w:r>
      <w:r>
        <w:t xml:space="preserve"> </w:t>
      </w:r>
      <w:r>
        <w:t xml:space="preserve">application config.</w:t>
      </w:r>
    </w:p>
    <w:bookmarkEnd w:id="25"/>
    <w:bookmarkStart w:id="26" w:name="Xd94e89b3f86990a2a1bb27027417e94d55d24d4"/>
    <w:p>
      <w:pPr>
        <w:pStyle w:val="Heading3"/>
      </w:pPr>
      <w:r>
        <w:t xml:space="preserve">F-010 / F-033 — Backup schedule and restore testing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Backup schedule is now defined in SOP-IT-001 but restore testing</w:t>
      </w:r>
      <w:r>
        <w:t xml:space="preserve"> </w:t>
      </w:r>
      <w:r>
        <w:t xml:space="preserve">has not been validated or automated. SOP-IT-003 does not point to</w:t>
      </w:r>
      <w:r>
        <w:t xml:space="preserve"> </w:t>
      </w:r>
      <w:r>
        <w:t xml:space="preserve">SOP-IT-001 for backup details.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15"/>
        </w:numPr>
      </w:pPr>
      <w:r>
        <w:t xml:space="preserve">For MongoDB Atlas: confirm that PITR and scheduled snapshot retention</w:t>
      </w:r>
      <w:r>
        <w:t xml:space="preserve"> </w:t>
      </w:r>
      <w:r>
        <w:t xml:space="preserve">are configured per environment in Atlas project settings. Document the</w:t>
      </w:r>
      <w:r>
        <w:t xml:space="preserve"> </w:t>
      </w:r>
      <w:r>
        <w:t xml:space="preserve">retention window (e.g. 7 days PITR, 30-day snapshot retention) as the</w:t>
      </w:r>
      <w:r>
        <w:t xml:space="preserve"> </w:t>
      </w:r>
      <w:r>
        <w:t xml:space="preserve">formal backup schedule in SOP-IT-001.</w:t>
      </w:r>
    </w:p>
    <w:p>
      <w:pPr>
        <w:pStyle w:val="Compact"/>
        <w:numPr>
          <w:ilvl w:val="0"/>
          <w:numId w:val="1015"/>
        </w:numPr>
      </w:pPr>
      <w:r>
        <w:t xml:space="preserve">Define a restore test procedure and cadence (at minimum: annual for</w:t>
      </w:r>
      <w:r>
        <w:t xml:space="preserve"> </w:t>
      </w:r>
      <w:r>
        <w:t xml:space="preserve">prod; semi-annual recommended). The test should demonstrate restoring</w:t>
      </w:r>
      <w:r>
        <w:t xml:space="preserve"> </w:t>
      </w:r>
      <w:r>
        <w:t xml:space="preserve">an Atlas cluster to a known-good timestamp, verifying data integrity,</w:t>
      </w:r>
      <w:r>
        <w:t xml:space="preserve"> </w:t>
      </w:r>
      <w:r>
        <w:t xml:space="preserve">and confirming that the sub-environment’s Key Vault MongoDB URI is</w:t>
      </w:r>
      <w:r>
        <w:t xml:space="preserve"> </w:t>
      </w:r>
      <w:r>
        <w:t xml:space="preserve">re-synced after restore (this is a manual step – see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, MongoDB Atlas Credential Management).</w:t>
      </w:r>
    </w:p>
    <w:p>
      <w:pPr>
        <w:pStyle w:val="Compact"/>
        <w:numPr>
          <w:ilvl w:val="0"/>
          <w:numId w:val="1015"/>
        </w:numPr>
      </w:pPr>
      <w:r>
        <w:t xml:space="preserve">For AKS: persistent volumes (SFTP disks) should have snapshot policies</w:t>
      </w:r>
      <w:r>
        <w:t xml:space="preserve"> </w:t>
      </w:r>
      <w:r>
        <w:t xml:space="preserve">defined in Azure. Confirm these are in place or add them via Terraform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terraform-infra/app/sftp_disk_storage.tf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Update SOP-IT-003 to reference SOP-IT-001 for backup schedule details</w:t>
      </w:r>
      <w:r>
        <w:t xml:space="preserve"> </w:t>
      </w:r>
      <w:r>
        <w:t xml:space="preserve">rather than duplicating them.</w:t>
      </w:r>
    </w:p>
    <w:p>
      <w:pPr>
        <w:pStyle w:val="Compact"/>
        <w:numPr>
          <w:ilvl w:val="0"/>
          <w:numId w:val="1015"/>
        </w:numPr>
      </w:pPr>
      <w:r>
        <w:t xml:space="preserve">Define where restore test evidence is stored and retained (see F-016</w:t>
      </w:r>
      <w:r>
        <w:t xml:space="preserve"> </w:t>
      </w:r>
      <w:r>
        <w:t xml:space="preserve">/ F-044 below).</w:t>
      </w:r>
    </w:p>
    <w:bookmarkEnd w:id="26"/>
    <w:bookmarkStart w:id="27" w:name="Xda09a7d5adf449023471480110ebe224b702735"/>
    <w:p>
      <w:pPr>
        <w:pStyle w:val="Heading3"/>
      </w:pPr>
      <w:r>
        <w:t xml:space="preserve">F-028 / F-045 — RTO and RPO not realistically defined per system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RTO (30 minutes) and RPO (15 minutes) are defined in WI-IT-002</w:t>
      </w:r>
      <w:r>
        <w:t xml:space="preserve"> </w:t>
      </w:r>
      <w:r>
        <w:t xml:space="preserve">but are not in the SOP, not justified against architecture, and likely</w:t>
      </w:r>
      <w:r>
        <w:t xml:space="preserve"> </w:t>
      </w:r>
      <w:r>
        <w:t xml:space="preserve">unachievable for infrastructure-level events.</w:t>
      </w:r>
    </w:p>
    <w:p>
      <w:pPr>
        <w:pStyle w:val="BodyText"/>
      </w:pPr>
      <w:r>
        <w:rPr>
          <w:b/>
          <w:bCs/>
        </w:rPr>
        <w:t xml:space="preserve">Realistic RTO/RPO estimates by system tier (to inform the SOP update):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Recovery scenario</w:t>
            </w:r>
          </w:p>
        </w:tc>
        <w:tc>
          <w:tcPr/>
          <w:p>
            <w:pPr>
              <w:pStyle w:val="Compact"/>
            </w:pPr>
            <w:r>
              <w:t xml:space="preserve">Realistic RTO</w:t>
            </w:r>
          </w:p>
        </w:tc>
        <w:tc>
          <w:tcPr/>
          <w:p>
            <w:pPr>
              <w:pStyle w:val="Compact"/>
            </w:pPr>
            <w:r>
              <w:t xml:space="preserve">Realistic RPO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 (prod, per-sub-env cluster)</w:t>
            </w:r>
          </w:p>
        </w:tc>
        <w:tc>
          <w:tcPr/>
          <w:p>
            <w:pPr>
              <w:pStyle w:val="Compact"/>
            </w:pPr>
            <w:r>
              <w:t xml:space="preserve">Node failure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0 (replica set auto-failover)</w:t>
            </w:r>
          </w:p>
        </w:tc>
        <w:tc>
          <w:tcPr/>
          <w:p>
            <w:pPr>
              <w:pStyle w:val="Compact"/>
            </w:pPr>
            <w:r>
              <w:t xml:space="preserve">Atlas HA handles this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 (prod)</w:t>
            </w:r>
          </w:p>
        </w:tc>
        <w:tc>
          <w:tcPr/>
          <w:p>
            <w:pPr>
              <w:pStyle w:val="Compact"/>
            </w:pPr>
            <w:r>
              <w:t xml:space="preserve">Cluster-level disaster, PITR restore</w:t>
            </w:r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  <w:tc>
          <w:tcPr/>
          <w:p>
            <w:pPr>
              <w:pStyle w:val="Compact"/>
            </w:pPr>
            <w:r>
              <w:t xml:space="preserve">15 min (PITR granularity)</w:t>
            </w:r>
          </w:p>
        </w:tc>
        <w:tc>
          <w:tcPr/>
          <w:p>
            <w:pPr>
              <w:pStyle w:val="Compact"/>
            </w:pPr>
            <w:r>
              <w:t xml:space="preserve">Requires Key Vault re-sync post-restore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 (dev/test, shared cluster)</w:t>
            </w:r>
          </w:p>
        </w:tc>
        <w:tc>
          <w:tcPr/>
          <w:p>
            <w:pPr>
              <w:pStyle w:val="Compact"/>
            </w:pPr>
            <w:r>
              <w:t xml:space="preserve">Cluster restore</w:t>
            </w:r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  <w:tc>
          <w:tcPr/>
          <w:p>
            <w:pPr>
              <w:pStyle w:val="Compact"/>
            </w:pPr>
            <w:r>
              <w:t xml:space="preserve">1 hr (snapshot)</w:t>
            </w:r>
          </w:p>
        </w:tc>
        <w:tc>
          <w:tcPr/>
          <w:p>
            <w:pPr>
              <w:pStyle w:val="Compact"/>
            </w:pPr>
            <w:r>
              <w:t xml:space="preserve">Lower RPO requirement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 cluster</w:t>
            </w:r>
          </w:p>
        </w:tc>
        <w:tc>
          <w:tcPr/>
          <w:p>
            <w:pPr>
              <w:pStyle w:val="Compact"/>
            </w:pPr>
            <w:r>
              <w:t xml:space="preserve">Full cluster rebuild from Terraform</w:t>
            </w:r>
          </w:p>
        </w:tc>
        <w:tc>
          <w:tcPr/>
          <w:p>
            <w:pPr>
              <w:pStyle w:val="Compact"/>
            </w:pPr>
            <w:r>
              <w:t xml:space="preserve">45-90 min</w:t>
            </w:r>
          </w:p>
        </w:tc>
        <w:tc>
          <w:tcPr/>
          <w:p>
            <w:pPr>
              <w:pStyle w:val="Compact"/>
            </w:pPr>
            <w:r>
              <w:t xml:space="preserve">N/A (stateless; state is in git and Atlas)</w:t>
            </w:r>
          </w:p>
        </w:tc>
        <w:tc>
          <w:tcPr/>
          <w:p>
            <w:pPr>
              <w:pStyle w:val="Compact"/>
            </w:pPr>
            <w:r>
              <w:t xml:space="preserve">Dependent on Key Vault secrets and TLS certs being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workloads (pods)</w:t>
            </w:r>
          </w:p>
        </w:tc>
        <w:tc>
          <w:tcPr/>
          <w:p>
            <w:pPr>
              <w:pStyle w:val="Compact"/>
            </w:pPr>
            <w:r>
              <w:t xml:space="preserve">Pod/node failure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N/A (stateless)</w:t>
            </w:r>
          </w:p>
        </w:tc>
        <w:tc>
          <w:tcPr/>
          <w:p>
            <w:pPr>
              <w:pStyle w:val="Compact"/>
            </w:pPr>
            <w:r>
              <w:t xml:space="preserve">ArgoCD self-heal restarts pods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 managed disks</w:t>
            </w:r>
          </w:p>
        </w:tc>
        <w:tc>
          <w:tcPr/>
          <w:p>
            <w:pPr>
              <w:pStyle w:val="Compact"/>
            </w:pPr>
            <w:r>
              <w:t xml:space="preserve">Disk failure</w:t>
            </w:r>
          </w:p>
        </w:tc>
        <w:tc>
          <w:tcPr/>
          <w:p>
            <w:pPr>
              <w:pStyle w:val="Compact"/>
            </w:pPr>
            <w:r>
              <w:t xml:space="preserve">15-30 min (snapshot restore)</w:t>
            </w:r>
          </w:p>
        </w:tc>
        <w:tc>
          <w:tcPr/>
          <w:p>
            <w:pPr>
              <w:pStyle w:val="Compact"/>
            </w:pPr>
            <w:r>
              <w:t xml:space="preserve">24 hr (daily snapshot) or 15 min (if continuous backup enabled)</w:t>
            </w:r>
          </w:p>
        </w:tc>
        <w:tc>
          <w:tcPr/>
          <w:p>
            <w:pPr>
              <w:pStyle w:val="Compact"/>
            </w:pPr>
            <w:r>
              <w:t xml:space="preserve">Verify snapshot policy is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Microsoft-managed</w:t>
            </w:r>
          </w:p>
        </w:tc>
        <w:tc>
          <w:tcPr/>
          <w:p>
            <w:pPr>
              <w:pStyle w:val="Compact"/>
            </w:pPr>
            <w:r>
              <w:t xml:space="preserve">Per Microsoft SLA</w:t>
            </w:r>
          </w:p>
        </w:tc>
        <w:tc>
          <w:tcPr/>
          <w:p>
            <w:pPr>
              <w:pStyle w:val="Compact"/>
            </w:pPr>
            <w:r>
              <w:t xml:space="preserve">Per Microsoft SLA</w:t>
            </w:r>
          </w:p>
        </w:tc>
        <w:tc>
          <w:tcPr/>
          <w:p>
            <w:pPr>
              <w:pStyle w:val="Compact"/>
            </w:pPr>
            <w:r>
              <w:t xml:space="preserve">Korio-controlled RPO not applicable; document Microsoft’s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/ GitHub Actions</w:t>
            </w:r>
          </w:p>
        </w:tc>
        <w:tc>
          <w:tcPr/>
          <w:p>
            <w:pPr>
              <w:pStyle w:val="Compact"/>
            </w:pPr>
            <w:r>
              <w:t xml:space="preserve">GitHub outage</w:t>
            </w:r>
          </w:p>
        </w:tc>
        <w:tc>
          <w:tcPr/>
          <w:p>
            <w:pPr>
              <w:pStyle w:val="Compact"/>
            </w:pPr>
            <w:r>
              <w:t xml:space="preserve">N/A (external)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Deployments blocked but no data loss; document as a known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Cloudflare outage</w:t>
            </w:r>
          </w:p>
        </w:tc>
        <w:tc>
          <w:tcPr/>
          <w:p>
            <w:pPr>
              <w:pStyle w:val="Compact"/>
            </w:pPr>
            <w:r>
              <w:t xml:space="preserve">N/A (external)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inbound traffic; document as a known constraint</w:t>
            </w:r>
          </w:p>
        </w:tc>
      </w:tr>
    </w:tbl>
    <w:p>
      <w:pPr>
        <w:pStyle w:val="BodyText"/>
      </w:pPr>
      <w:r>
        <w:t xml:space="preserve">Move these targets from WI-IT-002 into SOP-IT-003, with a justification</w:t>
      </w:r>
      <w:r>
        <w:t xml:space="preserve"> </w:t>
      </w:r>
      <w:r>
        <w:t xml:space="preserve">column that references the architectural basis for each target.</w:t>
      </w:r>
    </w:p>
    <w:bookmarkEnd w:id="27"/>
    <w:bookmarkStart w:id="28" w:name="Xe68e24aef68ed6c5daf7caba637db7da97cc9bb"/>
    <w:p>
      <w:pPr>
        <w:pStyle w:val="Heading3"/>
      </w:pPr>
      <w:r>
        <w:t xml:space="preserve">F-029 — Disaster declaration criteria and authority not defined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formal criteria for declaring a disaster or authority to do so.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16"/>
        </w:numPr>
      </w:pPr>
      <w:r>
        <w:t xml:space="preserve">Define quantitative declaration triggers, for example:</w:t>
      </w:r>
    </w:p>
    <w:p>
      <w:pPr>
        <w:pStyle w:val="Compact"/>
        <w:numPr>
          <w:ilvl w:val="1"/>
          <w:numId w:val="1017"/>
        </w:numPr>
      </w:pPr>
      <w:r>
        <w:t xml:space="preserve">Atlas cluster unavailable for &gt; 15 minutes with no auto-recovery</w:t>
      </w:r>
    </w:p>
    <w:p>
      <w:pPr>
        <w:pStyle w:val="Compact"/>
        <w:numPr>
          <w:ilvl w:val="1"/>
          <w:numId w:val="1017"/>
        </w:numPr>
      </w:pPr>
      <w:r>
        <w:t xml:space="preserve">AKS cluster unresponsive and no ETA from Azure</w:t>
      </w:r>
    </w:p>
    <w:p>
      <w:pPr>
        <w:pStyle w:val="Compact"/>
        <w:numPr>
          <w:ilvl w:val="1"/>
          <w:numId w:val="1017"/>
        </w:numPr>
      </w:pPr>
      <w:r>
        <w:t xml:space="preserve">Data confirmed lost beyond RPO threshold</w:t>
      </w:r>
    </w:p>
    <w:p>
      <w:pPr>
        <w:pStyle w:val="Compact"/>
        <w:numPr>
          <w:ilvl w:val="1"/>
          <w:numId w:val="1017"/>
        </w:numPr>
      </w:pPr>
      <w:r>
        <w:t xml:space="preserve">Multiple sub-environments simultaneously degraded</w:t>
      </w:r>
    </w:p>
    <w:p>
      <w:pPr>
        <w:pStyle w:val="Compact"/>
        <w:numPr>
          <w:ilvl w:val="0"/>
          <w:numId w:val="1016"/>
        </w:numPr>
      </w:pPr>
      <w:r>
        <w:t xml:space="preserve">Define named decision authority (role, not individual) and a backup</w:t>
      </w:r>
      <w:r>
        <w:t xml:space="preserve"> </w:t>
      </w:r>
      <w:r>
        <w:t xml:space="preserve">authority when the primary is unavailable.</w:t>
      </w:r>
    </w:p>
    <w:p>
      <w:pPr>
        <w:pStyle w:val="Compact"/>
        <w:numPr>
          <w:ilvl w:val="0"/>
          <w:numId w:val="1016"/>
        </w:numPr>
      </w:pPr>
      <w:r>
        <w:t xml:space="preserve">Define a simple escalation chain: on-call engineer -&gt; DevOps lead -&gt;</w:t>
      </w:r>
      <w:r>
        <w:t xml:space="preserve"> </w:t>
      </w:r>
      <w:r>
        <w:t xml:space="preserve">CTO/COO, with maximum time at each level before escalating.</w:t>
      </w:r>
    </w:p>
    <w:bookmarkEnd w:id="28"/>
    <w:bookmarkStart w:id="29" w:name="Xd16f4d3a285f8053d14e1ca61a63b763f8e16d8"/>
    <w:p>
      <w:pPr>
        <w:pStyle w:val="Heading3"/>
      </w:pPr>
      <w:r>
        <w:t xml:space="preserve">F-030 / F-047 — No QA approval before declaring service restoration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Services may resume without documented engineering validation or</w:t>
      </w:r>
      <w:r>
        <w:t xml:space="preserve"> </w:t>
      </w:r>
      <w:r>
        <w:t xml:space="preserve">QA approval that the system is in a controlled state.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18"/>
        </w:numPr>
      </w:pPr>
      <w:r>
        <w:t xml:space="preserve">Define a post-recovery checklist in WI-IT-002. For production, this</w:t>
      </w:r>
      <w:r>
        <w:t xml:space="preserve"> </w:t>
      </w:r>
      <w:r>
        <w:t xml:space="preserve">must include:</w:t>
      </w:r>
    </w:p>
    <w:p>
      <w:pPr>
        <w:pStyle w:val="Compact"/>
        <w:numPr>
          <w:ilvl w:val="1"/>
          <w:numId w:val="1019"/>
        </w:numPr>
      </w:pPr>
      <w:r>
        <w:t xml:space="preserve">All AKS pods passing health/readiness probes</w:t>
      </w:r>
    </w:p>
    <w:p>
      <w:pPr>
        <w:pStyle w:val="Compact"/>
        <w:numPr>
          <w:ilvl w:val="1"/>
          <w:numId w:val="1019"/>
        </w:numPr>
      </w:pPr>
      <w:r>
        <w:t xml:space="preserve">ArgoCD reporting all applications Healthy and Synced</w:t>
      </w:r>
    </w:p>
    <w:p>
      <w:pPr>
        <w:pStyle w:val="Compact"/>
        <w:numPr>
          <w:ilvl w:val="1"/>
          <w:numId w:val="1019"/>
        </w:numPr>
      </w:pPr>
      <w:r>
        <w:t xml:space="preserve">Atlas cluster connectivity confirmed from at least one pod in each</w:t>
      </w:r>
      <w:r>
        <w:t xml:space="preserve"> </w:t>
      </w:r>
      <w:r>
        <w:t xml:space="preserve">active sub-environment</w:t>
      </w:r>
    </w:p>
    <w:p>
      <w:pPr>
        <w:pStyle w:val="Compact"/>
        <w:numPr>
          <w:ilvl w:val="1"/>
          <w:numId w:val="1019"/>
        </w:numPr>
      </w:pPr>
      <w:r>
        <w:t xml:space="preserve">Key Vault ExternalSecrets all in Ready state</w:t>
      </w:r>
    </w:p>
    <w:p>
      <w:pPr>
        <w:pStyle w:val="Compact"/>
        <w:numPr>
          <w:ilvl w:val="1"/>
          <w:numId w:val="1019"/>
        </w:numPr>
      </w:pPr>
      <w:r>
        <w:t xml:space="preserve">Smoke test or sanity check per validated sub-environment (define</w:t>
      </w:r>
      <w:r>
        <w:t xml:space="preserve"> </w:t>
      </w:r>
      <w:r>
        <w:t xml:space="preserve">what this test is)</w:t>
      </w:r>
    </w:p>
    <w:p>
      <w:pPr>
        <w:pStyle w:val="Compact"/>
        <w:numPr>
          <w:ilvl w:val="0"/>
          <w:numId w:val="1018"/>
        </w:numPr>
      </w:pPr>
      <w:r>
        <w:t xml:space="preserve">Define who signs off on each checklist item (Engineering) and who</w:t>
      </w:r>
      <w:r>
        <w:t xml:space="preserve"> </w:t>
      </w:r>
      <w:r>
        <w:t xml:space="preserve">provides final QA approval before production traffic is restored.</w:t>
      </w:r>
    </w:p>
    <w:p>
      <w:pPr>
        <w:pStyle w:val="Compact"/>
        <w:numPr>
          <w:ilvl w:val="0"/>
          <w:numId w:val="1018"/>
        </w:numPr>
      </w:pPr>
      <w:r>
        <w:t xml:space="preserve">For validated sub-environments (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my</w:t>
      </w:r>
      <w:r>
        <w:t xml:space="preserve">), require</w:t>
      </w:r>
      <w:r>
        <w:t xml:space="preserve"> </w:t>
      </w:r>
      <w:r>
        <w:t xml:space="preserve">a documented validation impact assessment as part of recovery sign-off</w:t>
      </w:r>
      <w:r>
        <w:t xml:space="preserve"> </w:t>
      </w:r>
      <w:r>
        <w:t xml:space="preserve">(see also F-031 below).</w:t>
      </w:r>
    </w:p>
    <w:bookmarkEnd w:id="29"/>
    <w:bookmarkStart w:id="30" w:name="Xa529c867e5ba9d9548d29bd21ee4c8994f433ee"/>
    <w:p>
      <w:pPr>
        <w:pStyle w:val="Heading3"/>
      </w:pPr>
      <w:r>
        <w:t xml:space="preserve">F-031 — No linkage to validation lifecycle after DR restoration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SOP-IT-003 does not require a validation impact assessment after</w:t>
      </w:r>
      <w:r>
        <w:t xml:space="preserve"> </w:t>
      </w:r>
      <w:r>
        <w:t xml:space="preserve">restoring validated systems.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20"/>
        </w:numPr>
      </w:pPr>
      <w:r>
        <w:t xml:space="preserve">Add a post-recovery step to SOP-IT-003 that requires a validation</w:t>
      </w:r>
      <w:r>
        <w:t xml:space="preserve"> </w:t>
      </w:r>
      <w:r>
        <w:t xml:space="preserve">impact assessment when production sub-environments have been restored.</w:t>
      </w:r>
    </w:p>
    <w:p>
      <w:pPr>
        <w:pStyle w:val="Compact"/>
        <w:numPr>
          <w:ilvl w:val="0"/>
          <w:numId w:val="1020"/>
        </w:numPr>
      </w:pPr>
      <w:r>
        <w:t xml:space="preserve">The assessment should determine whether the restored state constitutes</w:t>
      </w:r>
      <w:r>
        <w:t xml:space="preserve"> </w:t>
      </w:r>
      <w:r>
        <w:t xml:space="preserve">a GxP-impacting change (e.g., if an Atlas PITR restore rolled back</w:t>
      </w:r>
      <w:r>
        <w:t xml:space="preserve"> </w:t>
      </w:r>
      <w:r>
        <w:t xml:space="preserve">clinical data, that is not just a technical recovery – it may require</w:t>
      </w:r>
      <w:r>
        <w:t xml:space="preserve"> </w:t>
      </w:r>
      <w:r>
        <w:t xml:space="preserve">a CAPA and regulatory notification). Reference the Master Validation</w:t>
      </w:r>
      <w:r>
        <w:t xml:space="preserve"> </w:t>
      </w:r>
      <w:r>
        <w:t xml:space="preserve">Plan and the change classification taxonomy defined in response to</w:t>
      </w:r>
      <w:r>
        <w:t xml:space="preserve"> </w:t>
      </w:r>
      <w:r>
        <w:t xml:space="preserve">F-022/F-023 (see Critical findings response).</w:t>
      </w:r>
    </w:p>
    <w:p>
      <w:pPr>
        <w:pStyle w:val="Compact"/>
        <w:numPr>
          <w:ilvl w:val="0"/>
          <w:numId w:val="1020"/>
        </w:numPr>
      </w:pPr>
      <w:r>
        <w:t xml:space="preserve">QA sign-off from F-030 above must occur after the validation impact</w:t>
      </w:r>
      <w:r>
        <w:t xml:space="preserve"> </w:t>
      </w:r>
      <w:r>
        <w:t xml:space="preserve">assessment is complete, not before.</w:t>
      </w:r>
    </w:p>
    <w:bookmarkEnd w:id="30"/>
    <w:bookmarkStart w:id="31" w:name="X0f75f5ffb8096d781c41b0e10db581326868bfc"/>
    <w:p>
      <w:pPr>
        <w:pStyle w:val="Heading3"/>
      </w:pPr>
      <w:r>
        <w:t xml:space="preserve">F-032 — No DR plan for non-production environments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Dev and test are explicitly out of scope of the DR plan but</w:t>
      </w:r>
      <w:r>
        <w:t xml:space="preserve"> </w:t>
      </w:r>
      <w:r>
        <w:t xml:space="preserve">losing them disrupts the development and validation pipeline.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21"/>
        </w:numPr>
      </w:pPr>
      <w:r>
        <w:t xml:space="preserve">Define a lightweight DR addendum for dev, test, and platform</w:t>
      </w:r>
      <w:r>
        <w:t xml:space="preserve"> </w:t>
      </w:r>
      <w:r>
        <w:t xml:space="preserve">environments. These do not require the same rigour as prod but should</w:t>
      </w:r>
      <w:r>
        <w:t xml:space="preserve"> </w:t>
      </w:r>
      <w:r>
        <w:t xml:space="preserve">document: recovery priority, RTO/RPO (looser – e.g., 4-hour RTO,</w:t>
      </w:r>
      <w:r>
        <w:t xml:space="preserve"> </w:t>
      </w:r>
      <w:r>
        <w:t xml:space="preserve">24-hour RPO acceptable), and who is responsible.</w:t>
      </w:r>
    </w:p>
    <w:p>
      <w:pPr>
        <w:pStyle w:val="Compact"/>
        <w:numPr>
          <w:ilvl w:val="0"/>
          <w:numId w:val="1021"/>
        </w:numPr>
      </w:pPr>
      <w:r>
        <w:t xml:space="preserve">Note that dev/test share a single Atlas cluster (</w:t>
      </w:r>
      <w:r>
        <w:rPr>
          <w:rStyle w:val="VerbatimChar"/>
        </w:rPr>
        <w:t xml:space="preserve">vozni-dev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vozni-test</w:t>
      </w:r>
      <w:r>
        <w:t xml:space="preserve">) rather than per-sub-env clusters – a single cluster</w:t>
      </w:r>
      <w:r>
        <w:t xml:space="preserve"> </w:t>
      </w:r>
      <w:r>
        <w:t xml:space="preserve">failure takes out the entire dev or test environment simultaneously.</w:t>
      </w:r>
      <w:r>
        <w:t xml:space="preserve"> </w:t>
      </w:r>
      <w:r>
        <w:t xml:space="preserve">This is a higher-blast-radius event than the equivalent prod failure.</w:t>
      </w:r>
    </w:p>
    <w:p>
      <w:pPr>
        <w:pStyle w:val="Compact"/>
        <w:numPr>
          <w:ilvl w:val="0"/>
          <w:numId w:val="1021"/>
        </w:numPr>
      </w:pPr>
      <w:r>
        <w:t xml:space="preserve">AKS cluster rebuilds for dev/test follow the same Terraform path as</w:t>
      </w:r>
      <w:r>
        <w:t xml:space="preserve"> </w:t>
      </w:r>
      <w:r>
        <w:t xml:space="preserve">prod – the DR runbook can reference the same procedure with relaxed</w:t>
      </w:r>
      <w:r>
        <w:t xml:space="preserve"> </w:t>
      </w:r>
      <w:r>
        <w:t xml:space="preserve">time targets.</w:t>
      </w:r>
    </w:p>
    <w:bookmarkEnd w:id="31"/>
    <w:bookmarkStart w:id="32" w:name="X569fe9af1f82057e40ad58384e23e6a974e9d12"/>
    <w:p>
      <w:pPr>
        <w:pStyle w:val="Heading3"/>
      </w:pPr>
      <w:r>
        <w:t xml:space="preserve">F-033 — Backup verification and restore testing frequency not defined (P2)</w:t>
      </w:r>
    </w:p>
    <w:p>
      <w:pPr>
        <w:pStyle w:val="FirstParagraph"/>
      </w:pPr>
      <w:r>
        <w:t xml:space="preserve">Addressed jointly with F-010 above. Additional note: SOP-IT-003 should</w:t>
      </w:r>
      <w:r>
        <w:t xml:space="preserve"> </w:t>
      </w:r>
      <w:r>
        <w:t xml:space="preserve">explicitly cross-reference SOP-IT-001 for backup schedule and testing</w:t>
      </w:r>
      <w:r>
        <w:t xml:space="preserve"> </w:t>
      </w:r>
      <w:r>
        <w:t xml:space="preserve">frequency rather than leaving it undefined in the DR SOP.</w:t>
      </w:r>
    </w:p>
    <w:bookmarkEnd w:id="32"/>
    <w:bookmarkStart w:id="33" w:name="X511bc38d38d5bc1961ba8112e23e0f778c4e8c4"/>
    <w:p>
      <w:pPr>
        <w:pStyle w:val="Heading3"/>
      </w:pPr>
      <w:r>
        <w:t xml:space="preserve">F-035 — Communication plan lacks escalation timelines and approval workflow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defined timelines or approvals for client-facing communications</w:t>
      </w:r>
      <w:r>
        <w:t xml:space="preserve"> </w:t>
      </w:r>
      <w:r>
        <w:t xml:space="preserve">during incidents.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22"/>
        </w:numPr>
      </w:pPr>
      <w:r>
        <w:t xml:space="preserve">Define communication triggers and maximum timelines:</w:t>
      </w:r>
    </w:p>
    <w:p>
      <w:pPr>
        <w:pStyle w:val="Compact"/>
        <w:numPr>
          <w:ilvl w:val="1"/>
          <w:numId w:val="1023"/>
        </w:numPr>
      </w:pPr>
      <w:r>
        <w:t xml:space="preserve">Initial client notification: within X hours of confirmed incident</w:t>
      </w:r>
      <w:r>
        <w:t xml:space="preserve"> </w:t>
      </w:r>
      <w:r>
        <w:t xml:space="preserve">affecting a client’s sub-environment</w:t>
      </w:r>
    </w:p>
    <w:p>
      <w:pPr>
        <w:pStyle w:val="Compact"/>
        <w:numPr>
          <w:ilvl w:val="1"/>
          <w:numId w:val="1023"/>
        </w:numPr>
      </w:pPr>
      <w:r>
        <w:t xml:space="preserve">Status updates: every X hours during active incident</w:t>
      </w:r>
    </w:p>
    <w:p>
      <w:pPr>
        <w:pStyle w:val="Compact"/>
        <w:numPr>
          <w:ilvl w:val="1"/>
          <w:numId w:val="1023"/>
        </w:numPr>
      </w:pPr>
      <w:r>
        <w:t xml:space="preserve">Resolution notification: within X hours of service restoration</w:t>
      </w:r>
    </w:p>
    <w:p>
      <w:pPr>
        <w:pStyle w:val="Compact"/>
        <w:numPr>
          <w:ilvl w:val="0"/>
          <w:numId w:val="1022"/>
        </w:numPr>
      </w:pPr>
      <w:r>
        <w:t xml:space="preserve">Define who drafts and who approves client-facing communications (at</w:t>
      </w:r>
      <w:r>
        <w:t xml:space="preserve"> </w:t>
      </w:r>
      <w:r>
        <w:t xml:space="preserve">minimum: DevOps lead drafts, COO/CTO approves before sending).</w:t>
      </w:r>
    </w:p>
    <w:p>
      <w:pPr>
        <w:pStyle w:val="Compact"/>
        <w:numPr>
          <w:ilvl w:val="0"/>
          <w:numId w:val="1022"/>
        </w:numPr>
      </w:pPr>
      <w:r>
        <w:t xml:space="preserve">Define which incidents require proactive client notification vs.</w:t>
      </w:r>
      <w:r>
        <w:t xml:space="preserve"> </w:t>
      </w:r>
      <w:r>
        <w:t xml:space="preserve">post-incident summary only.</w:t>
      </w:r>
    </w:p>
    <w:bookmarkEnd w:id="33"/>
    <w:bookmarkStart w:id="34" w:name="f-050-sharepoint-rtorpo-listed-as-tbd-p2"/>
    <w:p>
      <w:pPr>
        <w:pStyle w:val="Heading3"/>
      </w:pPr>
      <w:r>
        <w:t xml:space="preserve">F-050 — SharePoint RTO/RPO listed as TBD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SharePoint contains regulated study documentation but has no</w:t>
      </w:r>
      <w:r>
        <w:t xml:space="preserve"> </w:t>
      </w:r>
      <w:r>
        <w:t xml:space="preserve">defined recovery objectives.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24"/>
        </w:numPr>
      </w:pPr>
      <w:r>
        <w:t xml:space="preserve">SharePoint is a Microsoft-managed SaaS. Korio’s DR obligation here is</w:t>
      </w:r>
      <w:r>
        <w:t xml:space="preserve"> </w:t>
      </w:r>
      <w:r>
        <w:t xml:space="preserve">to: (a) document Microsoft’s native backup and restore SLA as the</w:t>
      </w:r>
      <w:r>
        <w:t xml:space="preserve"> </w:t>
      </w:r>
      <w:r>
        <w:t xml:space="preserve">baseline, (b) determine whether Korio maintains its own SharePoint</w:t>
      </w:r>
      <w:r>
        <w:t xml:space="preserve"> </w:t>
      </w:r>
      <w:r>
        <w:t xml:space="preserve">backups (e.g. via Microsoft 365 Backup or a third-party tool), and</w:t>
      </w:r>
    </w:p>
    <w:p>
      <w:pPr>
        <w:pStyle w:val="Compact"/>
        <w:numPr>
          <w:ilvl w:val="1"/>
          <w:numId w:val="1025"/>
        </w:numPr>
      </w:pPr>
      <w:r>
        <w:t xml:space="preserve">define the acceptable RPO for regulated documents stored there.</w:t>
      </w:r>
    </w:p>
    <w:p>
      <w:pPr>
        <w:pStyle w:val="Compact"/>
        <w:numPr>
          <w:ilvl w:val="0"/>
          <w:numId w:val="1024"/>
        </w:numPr>
      </w:pPr>
      <w:r>
        <w:t xml:space="preserve">Assign a named owner responsible for SharePoint recovery and define</w:t>
      </w:r>
      <w:r>
        <w:t xml:space="preserve"> </w:t>
      </w:r>
      <w:r>
        <w:t xml:space="preserve">the restore procedure (who submits the restore request, how long it</w:t>
      </w:r>
      <w:r>
        <w:t xml:space="preserve"> </w:t>
      </w:r>
      <w:r>
        <w:t xml:space="preserve">takes, how restored content is verified).</w:t>
      </w:r>
    </w:p>
    <w:p>
      <w:pPr>
        <w:pStyle w:val="Compact"/>
        <w:numPr>
          <w:ilvl w:val="0"/>
          <w:numId w:val="1024"/>
        </w:numPr>
      </w:pPr>
      <w:r>
        <w:t xml:space="preserve">Set formal RTO/RPO targets in WI-IT-002 and SOP-IT-003 based on the</w:t>
      </w:r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61cb5f66f20d4e353ed7691b1ce4b93207edc9a"/>
    <w:p>
      <w:pPr>
        <w:pStyle w:val="Heading2"/>
      </w:pPr>
      <w:r>
        <w:t xml:space="preserve">Theme 2: Monitoring and Incident Management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F-005, F-011, F-018, F-021</w:t>
      </w:r>
    </w:p>
    <w:bookmarkStart w:id="36" w:name="infrastructure-context-1"/>
    <w:p>
      <w:pPr>
        <w:pStyle w:val="Heading3"/>
      </w:pPr>
      <w:r>
        <w:t xml:space="preserve">Infrastructure context</w:t>
      </w:r>
    </w:p>
    <w:p>
      <w:pPr>
        <w:pStyle w:val="FirstParagraph"/>
      </w:pPr>
      <w:r>
        <w:t xml:space="preserve">The observability stack is technically mature: Datadog (primary APM and</w:t>
      </w:r>
      <w:r>
        <w:t xml:space="preserve"> </w:t>
      </w:r>
      <w:r>
        <w:t xml:space="preserve">log aggregation, all prod and staging environments), Azure Monitor</w:t>
      </w:r>
      <w:r>
        <w:t xml:space="preserve"> </w:t>
      </w:r>
      <w:r>
        <w:t xml:space="preserve">(managed Prometheus, Container Insights), Grafana (dashboards), and</w:t>
      </w:r>
      <w:r>
        <w:t xml:space="preserve"> </w:t>
      </w:r>
      <w:r>
        <w:t xml:space="preserve">PagerDuty (on-call alerting). MongoDB Atlas alerts route to Microsoft</w:t>
      </w:r>
      <w:r>
        <w:t xml:space="preserve"> </w:t>
      </w:r>
      <w:r>
        <w:t xml:space="preserve">Teams. All monitoring infrastructure is managed by Terraform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terraform-infra/</w:t>
      </w:r>
      <w:r>
        <w:t xml:space="preserve">).</w:t>
      </w:r>
    </w:p>
    <w:p>
      <w:pPr>
        <w:pStyle w:val="BodyText"/>
      </w:pPr>
      <w:r>
        <w:t xml:space="preserve">The gap here is not in the technical tooling but in the documented</w:t>
      </w:r>
      <w:r>
        <w:t xml:space="preserve"> </w:t>
      </w:r>
      <w:r>
        <w:t xml:space="preserve">processes that sit on top of it: what is monitored, how alerts are</w:t>
      </w:r>
      <w:r>
        <w:t xml:space="preserve"> </w:t>
      </w:r>
      <w:r>
        <w:t xml:space="preserve">handled, how incidents are escalated, and how findings feed into CAPA.</w:t>
      </w:r>
    </w:p>
    <w:bookmarkEnd w:id="36"/>
    <w:bookmarkStart w:id="37" w:name="Xc88d698e8e57b515afcedb83504bca2ca8edbaf"/>
    <w:p>
      <w:pPr>
        <w:pStyle w:val="Heading3"/>
      </w:pPr>
      <w:r>
        <w:t xml:space="preserve">F-005 — Monitoring and alerting process not formally defined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Master Validation Plan identifies this as needing definition,</w:t>
      </w:r>
      <w:r>
        <w:t xml:space="preserve"> </w:t>
      </w:r>
      <w:r>
        <w:t xml:space="preserve">including tool qualification. Korio is in the middle of a transition</w:t>
      </w:r>
      <w:r>
        <w:t xml:space="preserve"> </w:t>
      </w:r>
      <w:r>
        <w:t xml:space="preserve">from Azure Monitor to Datadog as the primary observability platform.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26"/>
        </w:numPr>
      </w:pPr>
      <w:r>
        <w:t xml:space="preserve">Document the monitoring scope – which systems are monitored, by which</w:t>
      </w:r>
      <w:r>
        <w:t xml:space="preserve"> </w:t>
      </w:r>
      <w:r>
        <w:t xml:space="preserve">tool, and what is covered: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 pods / containers</w:t>
            </w:r>
          </w:p>
        </w:tc>
        <w:tc>
          <w:tcPr/>
          <w:p>
            <w:pPr>
              <w:pStyle w:val="Compact"/>
            </w:pPr>
            <w:r>
              <w:t xml:space="preserve">Datadog Node Agent (prod/staging), Azure Container Insights (all envs)</w:t>
            </w:r>
          </w:p>
        </w:tc>
        <w:tc>
          <w:tcPr/>
          <w:p>
            <w:pPr>
              <w:pStyle w:val="Compact"/>
            </w:pPr>
            <w:r>
              <w:t xml:space="preserve">Logs, metrics, APM (prod/staging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 cluster state</w:t>
            </w:r>
          </w:p>
        </w:tc>
        <w:tc>
          <w:tcPr/>
          <w:p>
            <w:pPr>
              <w:pStyle w:val="Compact"/>
            </w:pPr>
            <w:r>
              <w:t xml:space="preserve">Datadog Cluster Agent</w:t>
            </w:r>
          </w:p>
        </w:tc>
        <w:tc>
          <w:tcPr/>
          <w:p>
            <w:pPr>
              <w:pStyle w:val="Compact"/>
            </w:pPr>
            <w:r>
              <w:t xml:space="preserve">Kubernetes state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routing</w:t>
            </w:r>
          </w:p>
        </w:tc>
        <w:tc>
          <w:tcPr/>
          <w:p>
            <w:pPr>
              <w:pStyle w:val="Compact"/>
            </w:pPr>
            <w:r>
              <w:t xml:space="preserve">Datadog / Azure Prometheus</w:t>
            </w:r>
          </w:p>
        </w:tc>
        <w:tc>
          <w:tcPr/>
          <w:p>
            <w:pPr>
              <w:pStyle w:val="Compact"/>
            </w:pPr>
            <w:r>
              <w:t xml:space="preserve">Request rates, error rates,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Datadog Cluster Check + Atlas native alerts</w:t>
            </w:r>
          </w:p>
        </w:tc>
        <w:tc>
          <w:tcPr/>
          <w:p>
            <w:pPr>
              <w:pStyle w:val="Compact"/>
            </w:pPr>
            <w:r>
              <w:t xml:space="preserve">Query performance, replication lag, connection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Datadog (autodiscovery) + Azure Prometheus</w:t>
            </w:r>
          </w:p>
        </w:tc>
        <w:tc>
          <w:tcPr/>
          <w:p>
            <w:pPr>
              <w:pStyle w:val="Compact"/>
            </w:pPr>
            <w:r>
              <w:t xml:space="preserve">Sync status, health, error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alerts</w:t>
            </w:r>
          </w:p>
        </w:tc>
        <w:tc>
          <w:tcPr/>
          <w:p>
            <w:pPr>
              <w:pStyle w:val="Compact"/>
            </w:pPr>
            <w:r>
              <w:t xml:space="preserve">Azure Monitor Prometheus rules + PagerDuty</w:t>
            </w:r>
          </w:p>
        </w:tc>
        <w:tc>
          <w:tcPr/>
          <w:p>
            <w:pPr>
              <w:pStyle w:val="Compact"/>
            </w:pPr>
            <w:r>
              <w:t xml:space="preserve">CPU, memory, pod restarts,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/ access events</w:t>
            </w:r>
          </w:p>
        </w:tc>
        <w:tc>
          <w:tcPr/>
          <w:p>
            <w:pPr>
              <w:pStyle w:val="Compact"/>
            </w:pPr>
            <w:r>
              <w:t xml:space="preserve">Not fully defined – see F-018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p>
      <w:pPr>
        <w:numPr>
          <w:ilvl w:val="0"/>
          <w:numId w:val="1026"/>
        </w:numPr>
      </w:pPr>
      <w:r>
        <w:t xml:space="preserve">For GxP qualification: define whether Datadog and PagerDuty require</w:t>
      </w:r>
      <w:r>
        <w:t xml:space="preserve"> </w:t>
      </w:r>
      <w:r>
        <w:t xml:space="preserve">formal qualification (GAMP5 Category 1 – commercially available</w:t>
      </w:r>
      <w:r>
        <w:t xml:space="preserve"> </w:t>
      </w:r>
      <w:r>
        <w:t xml:space="preserve">software used as-is) or are treated as supporting infrastructure.</w:t>
      </w:r>
      <w:r>
        <w:t xml:space="preserve"> </w:t>
      </w:r>
      <w:r>
        <w:t xml:space="preserve">Document this decision.</w:t>
      </w:r>
    </w:p>
    <w:p>
      <w:pPr>
        <w:numPr>
          <w:ilvl w:val="0"/>
          <w:numId w:val="1026"/>
        </w:numPr>
      </w:pPr>
      <w:r>
        <w:t xml:space="preserve">Define the alert-handling workflow: alert fires -&gt; PagerDuty on-call</w:t>
      </w:r>
      <w:r>
        <w:t xml:space="preserve"> </w:t>
      </w:r>
      <w:r>
        <w:t xml:space="preserve">notified -&gt; acknowledgment SLA -&gt; investigation -&gt; resolution -&gt;</w:t>
      </w:r>
      <w:r>
        <w:t xml:space="preserve"> </w:t>
      </w:r>
      <w:r>
        <w:t xml:space="preserve">incident ticket opened (if threshold met).</w:t>
      </w:r>
    </w:p>
    <w:p>
      <w:pPr>
        <w:numPr>
          <w:ilvl w:val="0"/>
          <w:numId w:val="1026"/>
        </w:numPr>
      </w:pPr>
      <w:r>
        <w:t xml:space="preserve">Define which alert conditions require a clinical/GxP impact assessment</w:t>
      </w:r>
      <w:r>
        <w:t xml:space="preserve"> </w:t>
      </w:r>
      <w:r>
        <w:t xml:space="preserve">(e.g., a MongoDB Atlas data integrity alert is different from a pod</w:t>
      </w:r>
      <w:r>
        <w:t xml:space="preserve"> </w:t>
      </w:r>
      <w:r>
        <w:t xml:space="preserve">OOMKill alert).</w:t>
      </w:r>
    </w:p>
    <w:bookmarkEnd w:id="37"/>
    <w:bookmarkStart w:id="38" w:name="X5576c2f88c1b0e7880a8ed0b6d8c6a3e54abaf0"/>
    <w:p>
      <w:pPr>
        <w:pStyle w:val="Heading3"/>
      </w:pPr>
      <w:r>
        <w:t xml:space="preserve">F-011 — No documented incident notification distribution list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SOP references notifying IT security personnel but no</w:t>
      </w:r>
      <w:r>
        <w:t xml:space="preserve"> </w:t>
      </w:r>
      <w:r>
        <w:t xml:space="preserve">distribution list or mechanism is defined. The finding notes a target</w:t>
      </w:r>
      <w:r>
        <w:t xml:space="preserve"> </w:t>
      </w:r>
      <w:r>
        <w:t xml:space="preserve">list: DevOps, QA, CEO, COO, CS Lead.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27"/>
        </w:numPr>
      </w:pPr>
      <w:r>
        <w:t xml:space="preserve">Create a dedicated security incident notification channel. Options</w:t>
      </w:r>
      <w:r>
        <w:t xml:space="preserve"> </w:t>
      </w:r>
      <w:r>
        <w:t xml:space="preserve">(in order of preference for auditability):</w:t>
      </w:r>
    </w:p>
    <w:p>
      <w:pPr>
        <w:pStyle w:val="Compact"/>
        <w:numPr>
          <w:ilvl w:val="1"/>
          <w:numId w:val="1028"/>
        </w:numPr>
      </w:pPr>
      <w:r>
        <w:t xml:space="preserve">A Microsoft Teams channel with a defined membership list and message</w:t>
      </w:r>
      <w:r>
        <w:t xml:space="preserve"> </w:t>
      </w:r>
      <w:r>
        <w:t xml:space="preserve">logging</w:t>
      </w:r>
    </w:p>
    <w:p>
      <w:pPr>
        <w:pStyle w:val="Compact"/>
        <w:numPr>
          <w:ilvl w:val="1"/>
          <w:numId w:val="1028"/>
        </w:numPr>
      </w:pPr>
      <w:r>
        <w:t xml:space="preserve">A shared security alias (e.g. </w:t>
      </w:r>
      <w:r>
        <w:rPr>
          <w:rStyle w:val="VerbatimChar"/>
        </w:rPr>
        <w:t xml:space="preserve">security@korioclinical.com</w:t>
      </w:r>
      <w:r>
        <w:t xml:space="preserve">) with a</w:t>
      </w:r>
      <w:r>
        <w:t xml:space="preserve"> </w:t>
      </w:r>
      <w:r>
        <w:t xml:space="preserve">documented membership list maintained in a controlled document</w:t>
      </w:r>
    </w:p>
    <w:p>
      <w:pPr>
        <w:pStyle w:val="Compact"/>
        <w:numPr>
          <w:ilvl w:val="0"/>
          <w:numId w:val="1027"/>
        </w:numPr>
      </w:pPr>
      <w:r>
        <w:t xml:space="preserve">Document the distribution list in SOP-IT-001 or its referenced work</w:t>
      </w:r>
      <w:r>
        <w:t xml:space="preserve"> </w:t>
      </w:r>
      <w:r>
        <w:t xml:space="preserve">instruction, including the mechanism for keeping it current (who</w:t>
      </w:r>
      <w:r>
        <w:t xml:space="preserve"> </w:t>
      </w:r>
      <w:r>
        <w:t xml:space="preserve">updates it, how often it is reviewed).</w:t>
      </w:r>
    </w:p>
    <w:p>
      <w:pPr>
        <w:pStyle w:val="Compact"/>
        <w:numPr>
          <w:ilvl w:val="0"/>
          <w:numId w:val="1027"/>
        </w:numPr>
      </w:pPr>
      <w:r>
        <w:t xml:space="preserve">Define a secondary notification path for when the primary channel is</w:t>
      </w:r>
      <w:r>
        <w:t xml:space="preserve"> </w:t>
      </w:r>
      <w:r>
        <w:t xml:space="preserve">unavailable (e.g., the incident itself takes down Teams).</w:t>
      </w:r>
    </w:p>
    <w:bookmarkEnd w:id="38"/>
    <w:bookmarkStart w:id="39" w:name="X98a7c2603adcabfb9bb36fd0cb16d756263912a"/>
    <w:p>
      <w:pPr>
        <w:pStyle w:val="Heading3"/>
      </w:pPr>
      <w:r>
        <w:t xml:space="preserve">F-018 — Security health checks undefined scope and undocumented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Semi-annual security health checks are required but which systems</w:t>
      </w:r>
      <w:r>
        <w:t xml:space="preserve"> </w:t>
      </w:r>
      <w:r>
        <w:t xml:space="preserve">are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is not defined, and there is no documentation requirement</w:t>
      </w:r>
      <w:r>
        <w:t xml:space="preserve"> </w:t>
      </w:r>
      <w:r>
        <w:t xml:space="preserve">or CAPA linkage.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29"/>
        </w:numPr>
      </w:pPr>
      <w:r>
        <w:t xml:space="preserve">Define system criticality tiers, which will also feed F-001 and F-037</w:t>
      </w:r>
      <w:r>
        <w:t xml:space="preserve"> </w:t>
      </w:r>
      <w:r>
        <w:t xml:space="preserve">(asset inventory). For security health checks, the relevant tier is</w:t>
      </w:r>
      <w:r>
        <w:t xml:space="preserve"> </w:t>
      </w:r>
      <w:r>
        <w:t xml:space="preserve">“GxP-critical or security-critical”</w:t>
      </w:r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Health check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GxP-critical</w:t>
            </w:r>
          </w:p>
        </w:tc>
        <w:tc>
          <w:tcPr/>
          <w:p>
            <w:pPr>
              <w:pStyle w:val="Compact"/>
            </w:pPr>
            <w:r>
              <w:t xml:space="preserve">AKS prod clusters, MongoDB Atlas prod clusters, Azure Key Vaults, Azure Entra B2C (or replacement IdP), NGINX routing config</w:t>
            </w:r>
          </w:p>
        </w:tc>
        <w:tc>
          <w:tcPr/>
          <w:p>
            <w:pPr>
              <w:pStyle w:val="Compact"/>
            </w:pPr>
            <w:r>
              <w:t xml:space="preserve">Semi-annual minimum; annual formal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Security-critical</w:t>
            </w:r>
          </w:p>
        </w:tc>
        <w:tc>
          <w:tcPr/>
          <w:p>
            <w:pPr>
              <w:pStyle w:val="Compact"/>
            </w:pPr>
            <w:r>
              <w:t xml:space="preserve">Cloudflare WAF, Twingate, GitHub org settings, ArgoCD RBAC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Datadog, PagerDuty, Grafana, Atlassian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p>
      <w:pPr>
        <w:numPr>
          <w:ilvl w:val="0"/>
          <w:numId w:val="1029"/>
        </w:numPr>
      </w:pPr>
      <w:r>
        <w:t xml:space="preserve">Define what a</w:t>
      </w:r>
      <w:r>
        <w:t xml:space="preserve"> </w:t>
      </w:r>
      <w:r>
        <w:t xml:space="preserve">“health check”</w:t>
      </w:r>
      <w:r>
        <w:t xml:space="preserve"> </w:t>
      </w:r>
      <w:r>
        <w:t xml:space="preserve">covers for each tier: configuration</w:t>
      </w:r>
      <w:r>
        <w:t xml:space="preserve"> </w:t>
      </w:r>
      <w:r>
        <w:t xml:space="preserve">review, access review, alert coverage review, vulnerability scan</w:t>
      </w:r>
      <w:r>
        <w:t xml:space="preserve"> </w:t>
      </w:r>
      <w:r>
        <w:t xml:space="preserve">results, etc.</w:t>
      </w:r>
    </w:p>
    <w:p>
      <w:pPr>
        <w:numPr>
          <w:ilvl w:val="0"/>
          <w:numId w:val="1029"/>
        </w:numPr>
      </w:pPr>
      <w:r>
        <w:t xml:space="preserve">Define where health check evidence is recorded (Confluence, SharePoint,</w:t>
      </w:r>
      <w:r>
        <w:t xml:space="preserve"> </w:t>
      </w:r>
      <w:r>
        <w:t xml:space="preserve">or a designated quality record location) and the retention period.</w:t>
      </w:r>
    </w:p>
    <w:p>
      <w:pPr>
        <w:numPr>
          <w:ilvl w:val="0"/>
          <w:numId w:val="1029"/>
        </w:numPr>
      </w:pPr>
      <w:r>
        <w:t xml:space="preserve">Define explicitly when a health check finding triggers a CAPA (see</w:t>
      </w:r>
      <w:r>
        <w:t xml:space="preserve"> </w:t>
      </w:r>
      <w:r>
        <w:t xml:space="preserve">F-021 below).</w:t>
      </w:r>
    </w:p>
    <w:bookmarkEnd w:id="39"/>
    <w:bookmarkStart w:id="40" w:name="X0efe5c74e9a9e7ca545635fc5e5cf274cd46210"/>
    <w:p>
      <w:pPr>
        <w:pStyle w:val="Heading3"/>
      </w:pPr>
      <w:r>
        <w:t xml:space="preserve">F-021 — Missing CAPA and breach management linkage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SOPs covering monitoring and security incidents do not define</w:t>
      </w:r>
      <w:r>
        <w:t xml:space="preserve"> </w:t>
      </w:r>
      <w:r>
        <w:t xml:space="preserve">when findings escalate to CAPAs or how a potential data breach is</w:t>
      </w:r>
      <w:r>
        <w:t xml:space="preserve"> </w:t>
      </w:r>
      <w:r>
        <w:t xml:space="preserve">handled.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0"/>
        </w:numPr>
      </w:pPr>
      <w:r>
        <w:t xml:space="preserve">Define CAPA escalation triggers for security events, for example:</w:t>
      </w:r>
    </w:p>
    <w:p>
      <w:pPr>
        <w:pStyle w:val="Compact"/>
        <w:numPr>
          <w:ilvl w:val="1"/>
          <w:numId w:val="1031"/>
        </w:numPr>
      </w:pPr>
      <w:r>
        <w:t xml:space="preserve">Confirmed unauthorized access to a validated system or clinical data</w:t>
      </w:r>
    </w:p>
    <w:p>
      <w:pPr>
        <w:pStyle w:val="Compact"/>
        <w:numPr>
          <w:ilvl w:val="1"/>
          <w:numId w:val="1031"/>
        </w:numPr>
      </w:pPr>
      <w:r>
        <w:t xml:space="preserve">A security health check finding rated High or Critical</w:t>
      </w:r>
    </w:p>
    <w:p>
      <w:pPr>
        <w:pStyle w:val="Compact"/>
        <w:numPr>
          <w:ilvl w:val="1"/>
          <w:numId w:val="1031"/>
        </w:numPr>
      </w:pPr>
      <w:r>
        <w:t xml:space="preserve">A recurring alert pattern indicating a systemic control failure</w:t>
      </w:r>
    </w:p>
    <w:p>
      <w:pPr>
        <w:pStyle w:val="Compact"/>
        <w:numPr>
          <w:ilvl w:val="1"/>
          <w:numId w:val="1031"/>
        </w:numPr>
      </w:pPr>
      <w:r>
        <w:t xml:space="preserve">Any Atlas data integrity alert in a prod sub-environment</w:t>
      </w:r>
    </w:p>
    <w:p>
      <w:pPr>
        <w:pStyle w:val="Compact"/>
        <w:numPr>
          <w:ilvl w:val="0"/>
          <w:numId w:val="1030"/>
        </w:numPr>
      </w:pPr>
      <w:r>
        <w:t xml:space="preserve">Create a standalone Breach Management SOP (referenced in the finding).</w:t>
      </w:r>
      <w:r>
        <w:t xml:space="preserve"> </w:t>
      </w:r>
      <w:r>
        <w:t xml:space="preserve">Minimum content: breach detection criteria, containment steps,</w:t>
      </w:r>
      <w:r>
        <w:t xml:space="preserve"> </w:t>
      </w:r>
      <w:r>
        <w:t xml:space="preserve">regulatory notification obligations (GDPR – 72-hour notification</w:t>
      </w:r>
      <w:r>
        <w:t xml:space="preserve"> </w:t>
      </w:r>
      <w:r>
        <w:t xml:space="preserve">window to supervisory authority for breaches involving PII/PHI),</w:t>
      </w:r>
      <w:r>
        <w:t xml:space="preserve"> </w:t>
      </w:r>
      <w:r>
        <w:t xml:space="preserve">client notification criteria and timelines, and evidence preservation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30"/>
        </w:numPr>
      </w:pPr>
      <w:r>
        <w:t xml:space="preserve">Add cross-references from SOP-IT-001 (security incidents) to the</w:t>
      </w:r>
      <w:r>
        <w:t xml:space="preserve"> </w:t>
      </w:r>
      <w:r>
        <w:t xml:space="preserve">Breach Management SOP and the CAPA SOP.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909b161deea57da8df0274f694daf17269a160e"/>
    <w:p>
      <w:pPr>
        <w:pStyle w:val="Heading2"/>
      </w:pPr>
      <w:r>
        <w:t xml:space="preserve">Theme 3: SOP Governance and Role Alignment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F-012, F-016</w:t>
      </w:r>
    </w:p>
    <w:bookmarkStart w:id="42" w:name="Xb7834c684f4f1bc1e1851c30500cf3efec374e7"/>
    <w:p>
      <w:pPr>
        <w:pStyle w:val="Heading3"/>
      </w:pPr>
      <w:r>
        <w:t xml:space="preserve">F-012 — SOP role names do not match current org structure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SOP-IT-001 references roles (</w:t>
      </w:r>
      <w:r>
        <w:t xml:space="preserve">“Security Architect,”</w:t>
      </w:r>
      <w:r>
        <w:t xml:space="preserve"> </w:t>
      </w:r>
      <w:r>
        <w:t xml:space="preserve">“VP of Product</w:t>
      </w:r>
      <w:r>
        <w:t xml:space="preserve"> </w:t>
      </w:r>
      <w:r>
        <w:t xml:space="preserve">&amp; Compliance,”</w:t>
      </w:r>
      <w:r>
        <w:t xml:space="preserve"> </w:t>
      </w:r>
      <w:r>
        <w:t xml:space="preserve">“Architect”</w:t>
      </w:r>
      <w:r>
        <w:t xml:space="preserve">) that do not align with the current</w:t>
      </w:r>
      <w:r>
        <w:t xml:space="preserve"> </w:t>
      </w:r>
      <w:r>
        <w:t xml:space="preserve">organisation.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2"/>
        </w:numPr>
      </w:pPr>
      <w:r>
        <w:t xml:space="preserve">Conduct a pass through SOP-IT-001 to identify every named role and</w:t>
      </w:r>
      <w:r>
        <w:t xml:space="preserve"> </w:t>
      </w:r>
      <w:r>
        <w:t xml:space="preserve">map it to either: (a) a current role/title, or (b) a functional</w:t>
      </w:r>
      <w:r>
        <w:t xml:space="preserve"> </w:t>
      </w:r>
      <w:r>
        <w:t xml:space="preserve">designation (e.g.,</w:t>
      </w:r>
      <w:r>
        <w:t xml:space="preserve"> </w:t>
      </w:r>
      <w:r>
        <w:t xml:space="preserve">“DevOps Lead”</w:t>
      </w:r>
      <w:r>
        <w:t xml:space="preserve"> </w:t>
      </w:r>
      <w:r>
        <w:t xml:space="preserve">rather than a person’s name or a</w:t>
      </w:r>
      <w:r>
        <w:t xml:space="preserve"> </w:t>
      </w:r>
      <w:r>
        <w:t xml:space="preserve">legacy title).</w:t>
      </w:r>
    </w:p>
    <w:p>
      <w:pPr>
        <w:pStyle w:val="Compact"/>
        <w:numPr>
          <w:ilvl w:val="0"/>
          <w:numId w:val="1032"/>
        </w:numPr>
      </w:pPr>
      <w:r>
        <w:t xml:space="preserve">Where a role has no clear current equivalent, assign ownership to</w:t>
      </w:r>
      <w:r>
        <w:t xml:space="preserve"> </w:t>
      </w:r>
      <w:r>
        <w:t xml:space="preserve">the closest existing function and document the mapping decision.</w:t>
      </w:r>
    </w:p>
    <w:p>
      <w:pPr>
        <w:pStyle w:val="Compact"/>
        <w:numPr>
          <w:ilvl w:val="0"/>
          <w:numId w:val="1032"/>
        </w:numPr>
      </w:pPr>
      <w:r>
        <w:t xml:space="preserve">This review should be done in conjunction with the RBAC matrix work</w:t>
      </w:r>
      <w:r>
        <w:t xml:space="preserve"> </w:t>
      </w:r>
      <w:r>
        <w:t xml:space="preserve">from F-002 (Critical findings) to ensure role names are consistent</w:t>
      </w:r>
      <w:r>
        <w:t xml:space="preserve"> </w:t>
      </w:r>
      <w:r>
        <w:t xml:space="preserve">across SOPs and access controls.</w:t>
      </w:r>
    </w:p>
    <w:bookmarkEnd w:id="42"/>
    <w:bookmarkStart w:id="43" w:name="X10991b6da8a32d2e556d8fceef82306ca31d4a7"/>
    <w:p>
      <w:pPr>
        <w:pStyle w:val="Heading3"/>
      </w:pPr>
      <w:r>
        <w:t xml:space="preserve">F-016 — Service account and non-expiring password review evidence not defined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Monthly reviews are now defined in WI-IT-004 but evidence</w:t>
      </w:r>
      <w:r>
        <w:t xml:space="preserve"> </w:t>
      </w:r>
      <w:r>
        <w:t xml:space="preserve">storage and retention are not specified.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3"/>
        </w:numPr>
      </w:pPr>
      <w:r>
        <w:t xml:space="preserve">WI-IT-004 should specify: where completed review records are stored</w:t>
      </w:r>
      <w:r>
        <w:t xml:space="preserve"> </w:t>
      </w:r>
      <w:r>
        <w:t xml:space="preserve">(a named location in Confluence or SharePoint), the required content</w:t>
      </w:r>
      <w:r>
        <w:t xml:space="preserve"> </w:t>
      </w:r>
      <w:r>
        <w:t xml:space="preserve">of each review record (date, reviewer, list of accounts reviewed,</w:t>
      </w:r>
      <w:r>
        <w:t xml:space="preserve"> </w:t>
      </w:r>
      <w:r>
        <w:t xml:space="preserve">any findings and actions), and the retention period.</w:t>
      </w:r>
    </w:p>
    <w:p>
      <w:pPr>
        <w:pStyle w:val="Compact"/>
        <w:numPr>
          <w:ilvl w:val="0"/>
          <w:numId w:val="1033"/>
        </w:numPr>
      </w:pPr>
      <w:r>
        <w:t xml:space="preserve">Define the list of service accounts and non-expiring passwords in scope</w:t>
      </w:r>
      <w:r>
        <w:t xml:space="preserve"> </w:t>
      </w:r>
      <w:r>
        <w:t xml:space="preserve">for the monthly review. From the current infrastructure this includes:</w:t>
      </w:r>
      <w:r>
        <w:t xml:space="preserve"> </w:t>
      </w:r>
      <w:r>
        <w:t xml:space="preserve">Atlas admin/integration users (manually managed), GitHub App credentials</w:t>
      </w:r>
      <w:r>
        <w:t xml:space="preserve"> </w:t>
      </w:r>
      <w:r>
        <w:t xml:space="preserve">(stored in</w:t>
      </w:r>
      <w:r>
        <w:t xml:space="preserve"> </w:t>
      </w:r>
      <w:r>
        <w:rPr>
          <w:rStyle w:val="VerbatimChar"/>
        </w:rPr>
        <w:t xml:space="preserve">vozni-common-secrets-kv</w:t>
      </w:r>
      <w:r>
        <w:t xml:space="preserve">), Datadog API keys, Cloudflare API</w:t>
      </w:r>
      <w:r>
        <w:t xml:space="preserve"> </w:t>
      </w:r>
      <w:r>
        <w:t xml:space="preserve">tokens, and any Azure service principal client secrets.</w:t>
      </w:r>
    </w:p>
    <w:p>
      <w:pPr>
        <w:pStyle w:val="Compact"/>
        <w:numPr>
          <w:ilvl w:val="0"/>
          <w:numId w:val="1033"/>
        </w:numPr>
      </w:pPr>
      <w:r>
        <w:t xml:space="preserve">The MongoDB Key Vault gap (passwords managed by Terraform but URIs</w:t>
      </w:r>
      <w:r>
        <w:t xml:space="preserve"> </w:t>
      </w:r>
      <w:r>
        <w:t xml:space="preserve">written manually – see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) means Atlas sub-environment</w:t>
      </w:r>
      <w:r>
        <w:t xml:space="preserve"> </w:t>
      </w:r>
      <w:r>
        <w:t xml:space="preserve">credentials are not naturally surfaced in a review. Consider whether</w:t>
      </w:r>
      <w:r>
        <w:t xml:space="preserve"> </w:t>
      </w:r>
      <w:r>
        <w:t xml:space="preserve">these fall within scope and if so, how the review is performed.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525a3c61b3e5419a4dc4e475ee02bcf63d4a090"/>
    <w:p>
      <w:pPr>
        <w:pStyle w:val="Heading2"/>
      </w:pPr>
      <w:r>
        <w:t xml:space="preserve">Theme 4: Asset Governance, Inventory, and Validation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F-001, F-006, F-007, F-037, F-038, F-039, F-040, F-041, F-042, F-043, F-044</w:t>
      </w:r>
    </w:p>
    <w:p>
      <w:pPr>
        <w:pStyle w:val="BodyText"/>
      </w:pPr>
      <w:r>
        <w:t xml:space="preserve">These findings are closely related and can largely be addressed by a</w:t>
      </w:r>
      <w:r>
        <w:t xml:space="preserve"> </w:t>
      </w:r>
      <w:r>
        <w:t xml:space="preserve">single deliverable: a controlled asset inventory with criticality tiers.</w:t>
      </w:r>
      <w:r>
        <w:t xml:space="preserve"> </w:t>
      </w:r>
      <w:r>
        <w:t xml:space="preserve">Several findings (F-037, F-038, F-039, F-040) are all addressed by</w:t>
      </w:r>
      <w:r>
        <w:t xml:space="preserve"> </w:t>
      </w:r>
      <w:r>
        <w:t xml:space="preserve">creating and maintaining this inventory.</w:t>
      </w:r>
    </w:p>
    <w:bookmarkStart w:id="45" w:name="infrastructure-context-2"/>
    <w:p>
      <w:pPr>
        <w:pStyle w:val="Heading3"/>
      </w:pPr>
      <w:r>
        <w:t xml:space="preserve">Infrastructure context</w:t>
      </w:r>
    </w:p>
    <w:p>
      <w:pPr>
        <w:pStyle w:val="FirstParagraph"/>
      </w:pPr>
      <w:r>
        <w:t xml:space="preserve">The current infrastructure includes a broad set of assets, many of which</w:t>
      </w:r>
      <w:r>
        <w:t xml:space="preserve"> </w:t>
      </w:r>
      <w:r>
        <w:t xml:space="preserve">are not explicitly governed in any SOP. A starting point for the</w:t>
      </w:r>
      <w:r>
        <w:t xml:space="preserve"> </w:t>
      </w:r>
      <w:r>
        <w:t xml:space="preserve">inventory, organised by tier:</w:t>
      </w:r>
    </w:p>
    <w:p>
      <w:pPr>
        <w:pStyle w:val="BodyText"/>
      </w:pPr>
      <w:r>
        <w:rPr>
          <w:b/>
          <w:bCs/>
        </w:rPr>
        <w:t xml:space="preserve">GxP-critical (direct impact on clinical data or validated state):</w:t>
      </w:r>
      <w:r>
        <w:t xml:space="preserve"> </w:t>
      </w:r>
      <w:r>
        <w:t xml:space="preserve">- MongoDB Atlas clusters (one per sub-env for prod/staging; shared for</w:t>
      </w:r>
      <w:r>
        <w:t xml:space="preserve"> </w:t>
      </w:r>
      <w:r>
        <w:t xml:space="preserve">dev/test/platform)</w:t>
      </w:r>
      <w:r>
        <w:t xml:space="preserve"> </w:t>
      </w:r>
      <w:r>
        <w:t xml:space="preserve">- Azure Key Vaults (one per sub-env per environment)</w:t>
      </w:r>
      <w:r>
        <w:t xml:space="preserve"> </w:t>
      </w:r>
      <w:r>
        <w:t xml:space="preserve">- Azure AKS clusters (one per environment)</w:t>
      </w:r>
      <w:r>
        <w:t xml:space="preserve"> </w:t>
      </w:r>
      <w:r>
        <w:t xml:space="preserve">- Azure Entra B2C tenants (one per environment; or replacement IdP)</w:t>
      </w:r>
      <w:r>
        <w:t xml:space="preserve"> </w:t>
      </w:r>
      <w:r>
        <w:t xml:space="preserve">- NGINX routing configuration (in</w:t>
      </w:r>
      <w:r>
        <w:t xml:space="preserve"> </w:t>
      </w:r>
      <w:r>
        <w:rPr>
          <w:rStyle w:val="VerbatimChar"/>
        </w:rPr>
        <w:t xml:space="preserve">kubernetes-manifests</w:t>
      </w:r>
      <w:r>
        <w:t xml:space="preserve"> </w:t>
      </w:r>
      <w:r>
        <w:t xml:space="preserve">repo)</w:t>
      </w:r>
      <w:r>
        <w:t xml:space="preserve"> </w:t>
      </w:r>
      <w:r>
        <w:t xml:space="preserve">- ArgoCD ApplicationSet YAMLs (in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repo)</w:t>
      </w:r>
      <w:r>
        <w:t xml:space="preserve"> </w:t>
      </w:r>
      <w:r>
        <w:t xml:space="preserve">- Azure Container Registry (stores all container images)</w:t>
      </w:r>
    </w:p>
    <w:p>
      <w:pPr>
        <w:pStyle w:val="BodyText"/>
      </w:pPr>
      <w:r>
        <w:rPr>
          <w:b/>
          <w:bCs/>
        </w:rPr>
        <w:t xml:space="preserve">Security-critical:</w:t>
      </w:r>
      <w:r>
        <w:t xml:space="preserve"> </w:t>
      </w:r>
      <w:r>
        <w:t xml:space="preserve">- Cloudflare (WAF, DNS – controls what traffic reaches the platform)</w:t>
      </w:r>
      <w:r>
        <w:t xml:space="preserve"> </w:t>
      </w:r>
      <w:r>
        <w:t xml:space="preserve">- Twingate (controls developer access to private subnets)</w:t>
      </w:r>
      <w:r>
        <w:t xml:space="preserve"> </w:t>
      </w:r>
      <w:r>
        <w:t xml:space="preserve">- GitHub (</w:t>
      </w:r>
      <w:r>
        <w:rPr>
          <w:rStyle w:val="VerbatimChar"/>
        </w:rPr>
        <w:t xml:space="preserve">korio-clinical</w:t>
      </w:r>
      <w:r>
        <w:t xml:space="preserve"> </w:t>
      </w:r>
      <w:r>
        <w:t xml:space="preserve">org – controls CI/CD and GitOps)</w:t>
      </w:r>
      <w:r>
        <w:t xml:space="preserve"> </w:t>
      </w:r>
      <w:r>
        <w:t xml:space="preserve">- Azure Entra (staff identity and access)</w:t>
      </w:r>
    </w:p>
    <w:p>
      <w:pPr>
        <w:pStyle w:val="BodyText"/>
      </w:pPr>
      <w:r>
        <w:rPr>
          <w:b/>
          <w:bCs/>
        </w:rPr>
        <w:t xml:space="preserve">Supporting / operational:</w:t>
      </w:r>
      <w:r>
        <w:t xml:space="preserve"> </w:t>
      </w:r>
      <w:r>
        <w:t xml:space="preserve">- Datadog, Azure Monitor, Grafana, PagerDuty (observability)</w:t>
      </w:r>
      <w:r>
        <w:t xml:space="preserve"> </w:t>
      </w:r>
      <w:r>
        <w:t xml:space="preserve">- SFTP managed disks and Azure Data Lake Storage</w:t>
      </w:r>
      <w:r>
        <w:t xml:space="preserve"> </w:t>
      </w:r>
      <w:r>
        <w:t xml:space="preserve">- SharePoint (regulated documentation)</w:t>
      </w:r>
      <w:r>
        <w:t xml:space="preserve"> </w:t>
      </w:r>
      <w:r>
        <w:t xml:space="preserve">- Atlassian Jira and Confluence (project management and documentation)</w:t>
      </w:r>
      <w:r>
        <w:t xml:space="preserve"> </w:t>
      </w:r>
      <w:r>
        <w:t xml:space="preserve">- Microsoft Teams</w:t>
      </w:r>
    </w:p>
    <w:bookmarkEnd w:id="45"/>
    <w:bookmarkStart w:id="46" w:name="X5e119cfdeb37c6e1877397c9b55bfd0e4e64839"/>
    <w:p>
      <w:pPr>
        <w:pStyle w:val="Heading3"/>
      </w:pPr>
      <w:r>
        <w:t xml:space="preserve">F-001 / F-037 / F-039 — Asset inventory with criticality tiers and system of record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formal infrastructure inventory with risk-based criticality</w:t>
      </w:r>
      <w:r>
        <w:t xml:space="preserve"> </w:t>
      </w:r>
      <w:r>
        <w:t xml:space="preserve">classification exists. No system of record is defined for asset</w:t>
      </w:r>
      <w:r>
        <w:t xml:space="preserve"> </w:t>
      </w:r>
      <w:r>
        <w:t xml:space="preserve">inventory.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4"/>
        </w:numPr>
      </w:pPr>
      <w:r>
        <w:t xml:space="preserve">Create a controlled asset inventory document (Confluence is a natural</w:t>
      </w:r>
      <w:r>
        <w:t xml:space="preserve"> </w:t>
      </w:r>
      <w:r>
        <w:t xml:space="preserve">system of record given its use for other docs; SharePoint is an</w:t>
      </w:r>
      <w:r>
        <w:t xml:space="preserve"> </w:t>
      </w:r>
      <w:r>
        <w:t xml:space="preserve">alternative if the quality team prefers a controlled document system).</w:t>
      </w:r>
      <w:r>
        <w:t xml:space="preserve"> </w:t>
      </w:r>
      <w:r>
        <w:t xml:space="preserve">The inventory should capture for each asset: asset name, type,</w:t>
      </w:r>
      <w:r>
        <w:t xml:space="preserve"> </w:t>
      </w:r>
      <w:r>
        <w:t xml:space="preserve">environment(s), criticality tier, business owner, technical owner,</w:t>
      </w:r>
      <w:r>
        <w:t xml:space="preserve"> </w:t>
      </w:r>
      <w:r>
        <w:t xml:space="preserve">GxP relevance, validation status, and last review date.</w:t>
      </w:r>
    </w:p>
    <w:p>
      <w:pPr>
        <w:pStyle w:val="Compact"/>
        <w:numPr>
          <w:ilvl w:val="0"/>
          <w:numId w:val="1034"/>
        </w:numPr>
      </w:pPr>
      <w:r>
        <w:t xml:space="preserve">Use the tier structure from F-018 above (GxP-critical,</w:t>
      </w:r>
      <w:r>
        <w:t xml:space="preserve"> </w:t>
      </w:r>
      <w:r>
        <w:t xml:space="preserve">security-critical, supporting). Define the control requirements</w:t>
      </w:r>
      <w:r>
        <w:t xml:space="preserve"> </w:t>
      </w:r>
      <w:r>
        <w:t xml:space="preserve">that apply at each tier (monitoring cadence, review frequency,</w:t>
      </w:r>
      <w:r>
        <w:t xml:space="preserve"> </w:t>
      </w:r>
      <w:r>
        <w:t xml:space="preserve">change control category required, validation deliverables).</w:t>
      </w:r>
    </w:p>
    <w:p>
      <w:pPr>
        <w:pStyle w:val="Compact"/>
        <w:numPr>
          <w:ilvl w:val="0"/>
          <w:numId w:val="1034"/>
        </w:numPr>
      </w:pPr>
      <w:r>
        <w:t xml:space="preserve">Terraform state is a partial source of truth for Azure and Atlas</w:t>
      </w:r>
      <w:r>
        <w:t xml:space="preserve"> </w:t>
      </w:r>
      <w:r>
        <w:t xml:space="preserve">assets – the inventory does not need to duplicate what Terraform</w:t>
      </w:r>
      <w:r>
        <w:t xml:space="preserve"> </w:t>
      </w:r>
      <w:r>
        <w:t xml:space="preserve">manages, but it should reference it. Assets not in Terraform (B2C</w:t>
      </w:r>
      <w:r>
        <w:t xml:space="preserve"> </w:t>
      </w:r>
      <w:r>
        <w:t xml:space="preserve">tenants, GitHub, Cloudflare, SaaS tools) need explicit entries.</w:t>
      </w:r>
    </w:p>
    <w:p>
      <w:pPr>
        <w:pStyle w:val="Compact"/>
        <w:numPr>
          <w:ilvl w:val="0"/>
          <w:numId w:val="1034"/>
        </w:numPr>
      </w:pPr>
      <w:r>
        <w:t xml:space="preserve">Define access controls for the inventory itself: who can edit it,</w:t>
      </w:r>
      <w:r>
        <w:t xml:space="preserve"> </w:t>
      </w:r>
      <w:r>
        <w:t xml:space="preserve">how changes are approved, and how the history is preserved.</w:t>
      </w:r>
    </w:p>
    <w:bookmarkEnd w:id="46"/>
    <w:bookmarkStart w:id="47" w:name="X14b05dced5435650d206166a9c7183c041398be"/>
    <w:p>
      <w:pPr>
        <w:pStyle w:val="Heading3"/>
      </w:pPr>
      <w:r>
        <w:t xml:space="preserve">F-038 / F-043 — Review cadence and access review not defined for all asset types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Annual audits are defined for Platform and Corporate assets but</w:t>
      </w:r>
      <w:r>
        <w:t xml:space="preserve"> </w:t>
      </w:r>
      <w:r>
        <w:t xml:space="preserve">not for software licenses, user accounts, or all asset categories.</w:t>
      </w:r>
      <w:r>
        <w:t xml:space="preserve"> </w:t>
      </w:r>
      <w:r>
        <w:t xml:space="preserve">BSO access review frequency and documentation are undefined.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5"/>
        </w:numPr>
      </w:pPr>
      <w:r>
        <w:t xml:space="preserve">Define minimum review cadence per asset tier in the inventory SOP</w:t>
      </w:r>
      <w:r>
        <w:t xml:space="preserve"> </w:t>
      </w:r>
      <w:r>
        <w:t xml:space="preserve">and in SOP-IT-004:</w:t>
      </w:r>
    </w:p>
    <w:p>
      <w:pPr>
        <w:pStyle w:val="Compact"/>
        <w:numPr>
          <w:ilvl w:val="1"/>
          <w:numId w:val="1036"/>
        </w:numPr>
      </w:pPr>
      <w:r>
        <w:t xml:space="preserve">GxP-critical assets: quarterly access review; semi-annual</w:t>
      </w:r>
      <w:r>
        <w:t xml:space="preserve"> </w:t>
      </w:r>
      <w:r>
        <w:t xml:space="preserve">configuration review</w:t>
      </w:r>
    </w:p>
    <w:p>
      <w:pPr>
        <w:pStyle w:val="Compact"/>
        <w:numPr>
          <w:ilvl w:val="1"/>
          <w:numId w:val="1036"/>
        </w:numPr>
      </w:pPr>
      <w:r>
        <w:t xml:space="preserve">Security-critical assets: semi-annual access review; annual</w:t>
      </w:r>
      <w:r>
        <w:t xml:space="preserve"> </w:t>
      </w:r>
      <w:r>
        <w:t xml:space="preserve">configuration review</w:t>
      </w:r>
    </w:p>
    <w:p>
      <w:pPr>
        <w:pStyle w:val="Compact"/>
        <w:numPr>
          <w:ilvl w:val="1"/>
          <w:numId w:val="1036"/>
        </w:numPr>
      </w:pPr>
      <w:r>
        <w:t xml:space="preserve">Supporting assets: annual review of both</w:t>
      </w:r>
    </w:p>
    <w:p>
      <w:pPr>
        <w:pStyle w:val="Compact"/>
        <w:numPr>
          <w:ilvl w:val="0"/>
          <w:numId w:val="1035"/>
        </w:numPr>
      </w:pPr>
      <w:r>
        <w:t xml:space="preserve">Software licenses: define an annual review to confirm all licenses</w:t>
      </w:r>
      <w:r>
        <w:t xml:space="preserve"> </w:t>
      </w:r>
      <w:r>
        <w:t xml:space="preserve">are current, assigned, and within their permitted use scope.</w:t>
      </w:r>
    </w:p>
    <w:p>
      <w:pPr>
        <w:pStyle w:val="Compact"/>
        <w:numPr>
          <w:ilvl w:val="0"/>
          <w:numId w:val="1035"/>
        </w:numPr>
      </w:pPr>
      <w:r>
        <w:t xml:space="preserve">User account reviews: align with the RBAC matrix process from F-002</w:t>
      </w:r>
      <w:r>
        <w:t xml:space="preserve"> </w:t>
      </w:r>
      <w:r>
        <w:t xml:space="preserve">(Critical findings). Define who performs the review, what the</w:t>
      </w:r>
      <w:r>
        <w:t xml:space="preserve"> </w:t>
      </w:r>
      <w:r>
        <w:t xml:space="preserve">acceptance criteria are, and where evidence is stored.</w:t>
      </w:r>
    </w:p>
    <w:bookmarkEnd w:id="47"/>
    <w:bookmarkStart w:id="48" w:name="Xcfcb5f2c38ef01610e5f2ad1c1ea6386b1910c8"/>
    <w:p>
      <w:pPr>
        <w:pStyle w:val="Heading3"/>
      </w:pPr>
      <w:r>
        <w:t xml:space="preserve">F-040 — Cloud infrastructure not explicitly in inventory scope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SOP-IT-004 does not explicitly include cloud-hosted or third-party</w:t>
      </w:r>
      <w:r>
        <w:t xml:space="preserve"> </w:t>
      </w:r>
      <w:r>
        <w:t xml:space="preserve">SaaS assets in inventory scope.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7"/>
        </w:numPr>
      </w:pPr>
      <w:r>
        <w:t xml:space="preserve">Amend SOP-IT-004 to explicitly state that cloud infrastructure (AKS,</w:t>
      </w:r>
      <w:r>
        <w:t xml:space="preserve"> </w:t>
      </w:r>
      <w:r>
        <w:t xml:space="preserve">Atlas, Azure Key Vault, ACR, Azure Data Lake) and third-party SaaS</w:t>
      </w:r>
      <w:r>
        <w:t xml:space="preserve"> </w:t>
      </w:r>
      <w:r>
        <w:t xml:space="preserve">(Cloudflare, Twingate, Datadog, PagerDuty, GitHub, Atlassian,</w:t>
      </w:r>
      <w:r>
        <w:t xml:space="preserve"> </w:t>
      </w:r>
      <w:r>
        <w:t xml:space="preserve">SharePoint) are within inventory scope.</w:t>
      </w:r>
    </w:p>
    <w:p>
      <w:pPr>
        <w:pStyle w:val="Compact"/>
        <w:numPr>
          <w:ilvl w:val="0"/>
          <w:numId w:val="1037"/>
        </w:numPr>
      </w:pPr>
      <w:r>
        <w:t xml:space="preserve">For cloud infrastructure managed by Terraform, the SOP can reference</w:t>
      </w:r>
      <w:r>
        <w:t xml:space="preserve"> </w:t>
      </w:r>
      <w:r>
        <w:t xml:space="preserve">Terraform state as the authoritative source and require that the human-</w:t>
      </w:r>
      <w:r>
        <w:t xml:space="preserve"> </w:t>
      </w:r>
      <w:r>
        <w:t xml:space="preserve">readable inventory entry is updated whenever a Terraform workspace</w:t>
      </w:r>
      <w:r>
        <w:t xml:space="preserve"> </w:t>
      </w:r>
      <w:r>
        <w:t xml:space="preserve">adds or removes a resource of a given type.</w:t>
      </w:r>
    </w:p>
    <w:bookmarkEnd w:id="48"/>
    <w:bookmarkStart w:id="49" w:name="X13d640d14e02111169832e5c02a68bcc19d3185"/>
    <w:p>
      <w:pPr>
        <w:pStyle w:val="Heading3"/>
      </w:pPr>
      <w:r>
        <w:t xml:space="preserve">F-042 — No reconciliation between asset inventory and change control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Changes that create, modify, or retire assets do not require</w:t>
      </w:r>
      <w:r>
        <w:t xml:space="preserve"> </w:t>
      </w:r>
      <w:r>
        <w:t xml:space="preserve">inventory updates.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8"/>
        </w:numPr>
      </w:pPr>
      <w:r>
        <w:t xml:space="preserve">Add an inventory reconciliation step to the change control PR template</w:t>
      </w:r>
      <w:r>
        <w:t xml:space="preserve"> </w:t>
      </w:r>
      <w:r>
        <w:t xml:space="preserve">(see F-022/F-023 in the Critical findings response). For any change</w:t>
      </w:r>
      <w:r>
        <w:t xml:space="preserve"> </w:t>
      </w:r>
      <w:r>
        <w:t xml:space="preserve">that provisions, modifies, or decommissions an asset (particularly</w:t>
      </w:r>
      <w:r>
        <w:t xml:space="preserve"> </w:t>
      </w:r>
      <w:r>
        <w:t xml:space="preserve">Terraform changes), the change ticket must confirm whether the</w:t>
      </w:r>
      <w:r>
        <w:t xml:space="preserve"> </w:t>
      </w:r>
      <w:r>
        <w:t xml:space="preserve">inventory needs updating and who is responsible.</w:t>
      </w:r>
    </w:p>
    <w:p>
      <w:pPr>
        <w:pStyle w:val="Compact"/>
        <w:numPr>
          <w:ilvl w:val="0"/>
          <w:numId w:val="1038"/>
        </w:numPr>
      </w:pPr>
      <w:r>
        <w:t xml:space="preserve">This is particularly relevant for Terraform changes: a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that adds a new Atlas cluster, Key Vault, or AKS node pool creates new</w:t>
      </w:r>
      <w:r>
        <w:t xml:space="preserve"> </w:t>
      </w:r>
      <w:r>
        <w:t xml:space="preserve">GxP-critical assets that must appear in the inventory.</w:t>
      </w:r>
    </w:p>
    <w:bookmarkEnd w:id="49"/>
    <w:bookmarkStart w:id="50" w:name="X21ca5bc27f824c2b4f1073c87a80b3f24ca4225"/>
    <w:p>
      <w:pPr>
        <w:pStyle w:val="Heading3"/>
      </w:pPr>
      <w:r>
        <w:t xml:space="preserve">F-044 — No retention or storage location defined for inventory records (P2)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Retention period and storage location for inventory audits,</w:t>
      </w:r>
      <w:r>
        <w:t xml:space="preserve"> </w:t>
      </w:r>
      <w:r>
        <w:t xml:space="preserve">ownership assignments, and retirement documentation are not defined.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39"/>
        </w:numPr>
      </w:pPr>
      <w:r>
        <w:t xml:space="preserve">Define retention periods in SOP-IT-004, aligned with the quality</w:t>
      </w:r>
      <w:r>
        <w:t xml:space="preserve"> </w:t>
      </w:r>
      <w:r>
        <w:t xml:space="preserve">management SOP. A common baseline for GxP records is the longer of:</w:t>
      </w:r>
      <w:r>
        <w:t xml:space="preserve"> </w:t>
      </w:r>
      <w:r>
        <w:t xml:space="preserve">the life of the system plus 2 years, or the applicable regulatory</w:t>
      </w:r>
      <w:r>
        <w:t xml:space="preserve"> </w:t>
      </w:r>
      <w:r>
        <w:t xml:space="preserve">retention requirement.</w:t>
      </w:r>
    </w:p>
    <w:p>
      <w:pPr>
        <w:pStyle w:val="Compact"/>
        <w:numPr>
          <w:ilvl w:val="0"/>
          <w:numId w:val="1039"/>
        </w:numPr>
      </w:pPr>
      <w:r>
        <w:t xml:space="preserve">Define the storage location as part of the system of record decision</w:t>
      </w:r>
      <w:r>
        <w:t xml:space="preserve"> </w:t>
      </w:r>
      <w:r>
        <w:t xml:space="preserve">(Confluence or SharePoint). Ensure the location is access-controlled</w:t>
      </w:r>
      <w:r>
        <w:t xml:space="preserve"> </w:t>
      </w:r>
      <w:r>
        <w:t xml:space="preserve">and that edit history is preserved.</w:t>
      </w:r>
    </w:p>
    <w:bookmarkEnd w:id="50"/>
    <w:bookmarkStart w:id="51" w:name="X0749b03861e90e32ba4d39e80b51dd5bdb0d7c3"/>
    <w:p>
      <w:pPr>
        <w:pStyle w:val="Heading3"/>
      </w:pPr>
      <w:r>
        <w:t xml:space="preserve">F-041 — No risk assessment required before asset onboarding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SOP-IT-004 references acquisition via SOP-CO-002 but does not</w:t>
      </w:r>
      <w:r>
        <w:t xml:space="preserve"> </w:t>
      </w:r>
      <w:r>
        <w:t xml:space="preserve">require a risk or compliance assessment before placing an asset into</w:t>
      </w:r>
      <w:r>
        <w:t xml:space="preserve"> </w:t>
      </w:r>
      <w:r>
        <w:t xml:space="preserve">service.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0"/>
        </w:numPr>
      </w:pPr>
      <w:r>
        <w:t xml:space="preserve">Add an onboarding assessment step to SOP-IT-004. For GxP-relevant</w:t>
      </w:r>
      <w:r>
        <w:t xml:space="preserve"> </w:t>
      </w:r>
      <w:r>
        <w:t xml:space="preserve">assets the assessment must include: GxP impact determination,</w:t>
      </w:r>
      <w:r>
        <w:t xml:space="preserve"> </w:t>
      </w:r>
      <w:r>
        <w:t xml:space="preserve">validation requirements (GAMP5 category), security review, and</w:t>
      </w:r>
      <w:r>
        <w:t xml:space="preserve"> </w:t>
      </w:r>
      <w:r>
        <w:t xml:space="preserve">data classification.</w:t>
      </w:r>
    </w:p>
    <w:p>
      <w:pPr>
        <w:pStyle w:val="Compact"/>
        <w:numPr>
          <w:ilvl w:val="0"/>
          <w:numId w:val="1040"/>
        </w:numPr>
      </w:pPr>
      <w:r>
        <w:t xml:space="preserve">For cloud/SaaS assets this also means: confirming the vendor holds</w:t>
      </w:r>
      <w:r>
        <w:t xml:space="preserve"> </w:t>
      </w:r>
      <w:r>
        <w:t xml:space="preserve">appropriate certifications (SOC 2 Type II minimum; ISO 27001</w:t>
      </w:r>
      <w:r>
        <w:t xml:space="preserve"> </w:t>
      </w:r>
      <w:r>
        <w:t xml:space="preserve">preferred for clinical systems), reviewing the vendor’s data</w:t>
      </w:r>
      <w:r>
        <w:t xml:space="preserve"> </w:t>
      </w:r>
      <w:r>
        <w:t xml:space="preserve">processing agreement for GDPR compliance, and confirming the</w:t>
      </w:r>
      <w:r>
        <w:t xml:space="preserve"> </w:t>
      </w:r>
      <w:r>
        <w:t xml:space="preserve">vendor’s own DR capabilities meet Korio’s RTO/RPO requirements.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7a9798e6632b3a47ecd108ebc22fb4ff2494013"/>
    <w:p>
      <w:pPr>
        <w:pStyle w:val="Heading2"/>
      </w:pPr>
      <w:r>
        <w:t xml:space="preserve">Theme 5: Validation Governance and Configuration Baselines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F-006, F-007, F-025, F-026</w:t>
      </w:r>
    </w:p>
    <w:bookmarkStart w:id="53" w:name="Xc91395bf843f3d28325c2065b28c4b68923d954"/>
    <w:p>
      <w:pPr>
        <w:pStyle w:val="Heading3"/>
      </w:pPr>
      <w:r>
        <w:t xml:space="preserve">F-006 — Infrastructure requirements not formally documented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Infrastructure requirements for validation traceability have not</w:t>
      </w:r>
      <w:r>
        <w:t xml:space="preserve"> </w:t>
      </w:r>
      <w:r>
        <w:t xml:space="preserve">been defined. The existing infrastructure documentation (</w:t>
      </w:r>
      <w:r>
        <w:rPr>
          <w:rStyle w:val="VerbatimChar"/>
        </w:rPr>
        <w:t xml:space="preserve">infrastructure.md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application-stack.md</w:t>
      </w:r>
      <w:r>
        <w:t xml:space="preserve">) provides technical description but is not a</w:t>
      </w:r>
      <w:r>
        <w:t xml:space="preserve"> </w:t>
      </w:r>
      <w:r>
        <w:t xml:space="preserve">formal validation deliverable.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1"/>
        </w:numPr>
      </w:pPr>
      <w:r>
        <w:t xml:space="preserve">Produce a formal Infrastructure Requirements Document (IRD) or</w:t>
      </w:r>
      <w:r>
        <w:t xml:space="preserve"> </w:t>
      </w:r>
      <w:r>
        <w:t xml:space="preserve">equivalent, drawing from the existing technical docs as a starting</w:t>
      </w:r>
      <w:r>
        <w:t xml:space="preserve"> </w:t>
      </w:r>
      <w:r>
        <w:t xml:space="preserve">point. The IRD should capture requirements in a traceable format</w:t>
      </w:r>
      <w:r>
        <w:t xml:space="preserve"> </w:t>
      </w:r>
      <w:r>
        <w:t xml:space="preserve">(requirement ID, description, rationale, acceptance criteria) so</w:t>
      </w:r>
      <w:r>
        <w:t xml:space="preserve"> </w:t>
      </w:r>
      <w:r>
        <w:t xml:space="preserve">they can be linked to test evidence.</w:t>
      </w:r>
    </w:p>
    <w:p>
      <w:pPr>
        <w:pStyle w:val="Compact"/>
        <w:numPr>
          <w:ilvl w:val="0"/>
          <w:numId w:val="1041"/>
        </w:numPr>
      </w:pPr>
      <w:r>
        <w:t xml:space="preserve">The IRD is distinct from the technical docs in this repo – the</w:t>
      </w:r>
      <w:r>
        <w:t xml:space="preserve"> </w:t>
      </w:r>
      <w:r>
        <w:t xml:space="preserve">technical docs describe how the system is built; the IRD states what</w:t>
      </w:r>
      <w:r>
        <w:t xml:space="preserve"> </w:t>
      </w:r>
      <w:r>
        <w:t xml:space="preserve">it is required to do in order to be fit for its GxP purpose.</w:t>
      </w:r>
    </w:p>
    <w:bookmarkEnd w:id="53"/>
    <w:bookmarkStart w:id="54" w:name="X2e1199463ae5a45204373c2f43638cfe7a2722b"/>
    <w:p>
      <w:pPr>
        <w:pStyle w:val="Heading3"/>
      </w:pPr>
      <w:r>
        <w:t xml:space="preserve">F-007 — No validation lifecycle defined for non-RTSM/non-product systems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validation process exists for supporting systems</w:t>
      </w:r>
      <w:r>
        <w:t xml:space="preserve"> </w:t>
      </w:r>
      <w:r>
        <w:t xml:space="preserve">(infrastructure tools, monitoring, CI/CD). GAMP5 principles should apply.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2"/>
        </w:numPr>
      </w:pPr>
      <w:r>
        <w:t xml:space="preserve">Define a validation lifecycle for infrastructure and supporting</w:t>
      </w:r>
      <w:r>
        <w:t xml:space="preserve"> </w:t>
      </w:r>
      <w:r>
        <w:t xml:space="preserve">systems. Under GAMP5, most of these are Category 1 (commercially</w:t>
      </w:r>
      <w:r>
        <w:t xml:space="preserve"> </w:t>
      </w:r>
      <w:r>
        <w:t xml:space="preserve">available software used as-is) or Category 3 (configured</w:t>
      </w:r>
      <w:r>
        <w:t xml:space="preserve"> </w:t>
      </w:r>
      <w:r>
        <w:t xml:space="preserve">infrastructure-as-code). The validation effort for Category 1 is</w:t>
      </w:r>
      <w:r>
        <w:t xml:space="preserve"> </w:t>
      </w:r>
      <w:r>
        <w:t xml:space="preserve">primarily vendor assessment and configuration review; Category 3</w:t>
      </w:r>
      <w:r>
        <w:t xml:space="preserve"> </w:t>
      </w:r>
      <w:r>
        <w:t xml:space="preserve">requires configuration testing.</w:t>
      </w:r>
    </w:p>
    <w:p>
      <w:pPr>
        <w:pStyle w:val="Compact"/>
        <w:numPr>
          <w:ilvl w:val="0"/>
          <w:numId w:val="1042"/>
        </w:numPr>
      </w:pPr>
      <w:r>
        <w:t xml:space="preserve">For AKS, Atlas, ArgoCD, Datadog, and similar: document the GAMP5</w:t>
      </w:r>
      <w:r>
        <w:t xml:space="preserve"> </w:t>
      </w:r>
      <w:r>
        <w:t xml:space="preserve">category, the rationale, and the validation deliverables required.</w:t>
      </w:r>
      <w:r>
        <w:t xml:space="preserve"> </w:t>
      </w:r>
      <w:r>
        <w:t xml:space="preserve">Terraform state can serve as the configuration baseline (see F-025</w:t>
      </w:r>
      <w:r>
        <w:t xml:space="preserve"> </w:t>
      </w:r>
      <w:r>
        <w:t xml:space="preserve">below).</w:t>
      </w:r>
    </w:p>
    <w:bookmarkEnd w:id="54"/>
    <w:bookmarkStart w:id="55" w:name="X3553992be174c36619fa3dc4414ffde5e3e5b25"/>
    <w:p>
      <w:pPr>
        <w:pStyle w:val="Heading3"/>
      </w:pPr>
      <w:r>
        <w:t xml:space="preserve">F-025 — No baseline configuration definitions referenced in SOP-IT-002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SOP-IT-002 does not define or reference baseline configurations</w:t>
      </w:r>
      <w:r>
        <w:t xml:space="preserve"> </w:t>
      </w:r>
      <w:r>
        <w:t xml:space="preserve">that serve as the starting point for change impact assessment.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3"/>
        </w:numPr>
      </w:pPr>
      <w:r>
        <w:t xml:space="preserve">Terraform state is effectively the configuration baseline for all</w:t>
      </w:r>
      <w:r>
        <w:t xml:space="preserve"> </w:t>
      </w:r>
      <w:r>
        <w:t xml:space="preserve">Azure and Atlas infrastructure managed by Terraform. Reference this</w:t>
      </w:r>
      <w:r>
        <w:t xml:space="preserve"> </w:t>
      </w:r>
      <w:r>
        <w:t xml:space="preserve">explicitly in SOP-IT-002: the approved baseline configuration for</w:t>
      </w:r>
      <w:r>
        <w:t xml:space="preserve"> </w:t>
      </w:r>
      <w:r>
        <w:t xml:space="preserve">infrastructure is the state represented in the Terraform workspaces</w:t>
      </w:r>
      <w:r>
        <w:t xml:space="preserve"> </w:t>
      </w:r>
      <w:r>
        <w:t xml:space="preserve">at the point of last approval.</w:t>
      </w:r>
    </w:p>
    <w:p>
      <w:pPr>
        <w:pStyle w:val="Compact"/>
        <w:numPr>
          <w:ilvl w:val="0"/>
          <w:numId w:val="1043"/>
        </w:numPr>
      </w:pPr>
      <w:r>
        <w:t xml:space="preserve">For application configuration (Helm values, ArgoCD ApplicationSet</w:t>
      </w:r>
      <w:r>
        <w:t xml:space="preserve"> </w:t>
      </w:r>
      <w:r>
        <w:t xml:space="preserve">parameters, NGINX routing rules), the approved baseline is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of the relevant repository at the point of last</w:t>
      </w:r>
      <w:r>
        <w:t xml:space="preserve"> </w:t>
      </w:r>
      <w:r>
        <w:t xml:space="preserve">validated deployment.</w:t>
      </w:r>
    </w:p>
    <w:p>
      <w:pPr>
        <w:pStyle w:val="Compact"/>
        <w:numPr>
          <w:ilvl w:val="0"/>
          <w:numId w:val="1043"/>
        </w:numPr>
      </w:pPr>
      <w:r>
        <w:t xml:space="preserve">Define how baseline deviations are detected (ArgoCD self-heal</w:t>
      </w:r>
      <w:r>
        <w:t xml:space="preserve"> </w:t>
      </w:r>
      <w:r>
        <w:t xml:space="preserve">reports config drift; Terraform plan output shows infrastructure</w:t>
      </w:r>
      <w:r>
        <w:t xml:space="preserve"> </w:t>
      </w:r>
      <w:r>
        <w:t xml:space="preserve">drift) and how they trigger a change control record.</w:t>
      </w:r>
    </w:p>
    <w:bookmarkEnd w:id="55"/>
    <w:bookmarkStart w:id="56" w:name="X20f8be83fd24cde9baf92df8482cc380dd9b67a"/>
    <w:p>
      <w:pPr>
        <w:pStyle w:val="Heading3"/>
      </w:pPr>
      <w:r>
        <w:t xml:space="preserve">F-026 — SOP-IT-002 does not reference validation lifecycle or Master Validation Plan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Configuration management changes to validated systems may occur</w:t>
      </w:r>
      <w:r>
        <w:t xml:space="preserve"> </w:t>
      </w:r>
      <w:r>
        <w:t xml:space="preserve">without required validation documentation, traceability, or approved</w:t>
      </w:r>
      <w:r>
        <w:t xml:space="preserve"> </w:t>
      </w:r>
      <w:r>
        <w:t xml:space="preserve">testing.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4"/>
        </w:numPr>
      </w:pPr>
      <w:r>
        <w:t xml:space="preserve">Add a cross-reference from SOP-IT-002 to the Master Validation Plan.</w:t>
      </w:r>
      <w:r>
        <w:t xml:space="preserve"> </w:t>
      </w:r>
      <w:r>
        <w:t xml:space="preserve">The change control process must invoke validation impact assessment</w:t>
      </w:r>
      <w:r>
        <w:t xml:space="preserve"> </w:t>
      </w:r>
      <w:r>
        <w:t xml:space="preserve">when a change affects a GxP-critical or validated system (as defined</w:t>
      </w:r>
      <w:r>
        <w:t xml:space="preserve"> </w:t>
      </w:r>
      <w:r>
        <w:t xml:space="preserve">by the criticality tiers in F-037/F-001 above).</w:t>
      </w:r>
    </w:p>
    <w:p>
      <w:pPr>
        <w:pStyle w:val="Compact"/>
        <w:numPr>
          <w:ilvl w:val="0"/>
          <w:numId w:val="1044"/>
        </w:numPr>
      </w:pPr>
      <w:r>
        <w:t xml:space="preserve">Define testing requirements for GxP-impacting changes: acceptance</w:t>
      </w:r>
      <w:r>
        <w:t xml:space="preserve"> </w:t>
      </w:r>
      <w:r>
        <w:t xml:space="preserve">criteria, who executes and witnesses tests, what evidence is produced,</w:t>
      </w:r>
      <w:r>
        <w:t xml:space="preserve"> </w:t>
      </w:r>
      <w:r>
        <w:t xml:space="preserve">and where it is retained. For the sub-environment pipeline, 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sub-environment is the designated validation stage –</w:t>
      </w:r>
      <w:r>
        <w:t xml:space="preserve"> </w:t>
      </w:r>
      <w:r>
        <w:t xml:space="preserve">document this explicitly as the technical mechanism for executing</w:t>
      </w:r>
      <w:r>
        <w:t xml:space="preserve"> </w:t>
      </w:r>
      <w:r>
        <w:t xml:space="preserve">validation test activities.</w:t>
      </w:r>
    </w:p>
    <w:p>
      <w:pPr>
        <w:pStyle w:val="Compact"/>
        <w:numPr>
          <w:ilvl w:val="0"/>
          <w:numId w:val="1044"/>
        </w:numPr>
      </w:pPr>
      <w:r>
        <w:t xml:space="preserve">Define the release approval gate: what sign-offs are required before</w:t>
      </w:r>
      <w:r>
        <w:t xml:space="preserve"> </w:t>
      </w:r>
      <w:r>
        <w:t xml:space="preserve">a change can be promoted from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(and then to</w:t>
      </w:r>
      <w:r>
        <w:t xml:space="preserve"> </w:t>
      </w:r>
      <w:r>
        <w:rPr>
          <w:rStyle w:val="VerbatimChar"/>
        </w:rPr>
        <w:t xml:space="preserve">my</w:t>
      </w:r>
      <w:r>
        <w:t xml:space="preserve">), and how those approvals are recorded.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ummary-suggested-remediation-priority-1"/>
    <w:p>
      <w:pPr>
        <w:pStyle w:val="Heading2"/>
      </w:pPr>
      <w:r>
        <w:t xml:space="preserve">Summary: Suggested Remediation Priority</w:t>
      </w:r>
    </w:p>
    <w:p>
      <w:pPr>
        <w:pStyle w:val="FirstParagraph"/>
      </w:pPr>
      <w:r>
        <w:t xml:space="preserve">All findings are rated P2 (30-60 days) or P3 (60-120 days).</w:t>
      </w:r>
    </w:p>
    <w:bookmarkStart w:id="58" w:name="p2-items-30-60-days"/>
    <w:p>
      <w:pPr>
        <w:pStyle w:val="Heading3"/>
      </w:pPr>
      <w:r>
        <w:t xml:space="preserve">P2 Items (30-60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Finding(s)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Confirm Atlas backup/PITR configuration is in place; define restore test procedure</w:t>
            </w:r>
          </w:p>
        </w:tc>
        <w:tc>
          <w:tcPr/>
          <w:p>
            <w:pPr>
              <w:pStyle w:val="Compact"/>
            </w:pPr>
            <w:r>
              <w:t xml:space="preserve">F-010, F-033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Define realistic RTO/RPO per system, move into SOP-IT-003</w:t>
            </w:r>
          </w:p>
        </w:tc>
        <w:tc>
          <w:tcPr/>
          <w:p>
            <w:pPr>
              <w:pStyle w:val="Compact"/>
            </w:pPr>
            <w:r>
              <w:t xml:space="preserve">F-028, F-045, F-050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 post-recovery checklist with QA sign-off requirement</w:t>
            </w:r>
          </w:p>
        </w:tc>
        <w:tc>
          <w:tcPr/>
          <w:p>
            <w:pPr>
              <w:pStyle w:val="Compact"/>
            </w:pPr>
            <w:r>
              <w:t xml:space="preserve">F-030, F-047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 and publish security incident distribution list</w:t>
            </w:r>
          </w:p>
        </w:tc>
        <w:tc>
          <w:tcPr/>
          <w:p>
            <w:pPr>
              <w:pStyle w:val="Compact"/>
            </w:pPr>
            <w:r>
              <w:t xml:space="preserve">F-011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Define monitoring scope and alert-handling workflow in SOP</w:t>
            </w:r>
          </w:p>
        </w:tc>
        <w:tc>
          <w:tcPr/>
          <w:p>
            <w:pPr>
              <w:pStyle w:val="Compact"/>
            </w:pPr>
            <w:r>
              <w:t xml:space="preserve">F-005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Define system criticality tiers; document in SOP-IT-001</w:t>
            </w:r>
          </w:p>
        </w:tc>
        <w:tc>
          <w:tcPr/>
          <w:p>
            <w:pPr>
              <w:pStyle w:val="Compact"/>
            </w:pPr>
            <w:r>
              <w:t xml:space="preserve">F-018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Define CAPA triggers for security events; create Breach Management SOP</w:t>
            </w:r>
          </w:p>
        </w:tc>
        <w:tc>
          <w:tcPr/>
          <w:p>
            <w:pPr>
              <w:pStyle w:val="Compact"/>
            </w:pPr>
            <w:r>
              <w:t xml:space="preserve">F-021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Update SOP-IT-001 role names to match current org structure</w:t>
            </w:r>
          </w:p>
        </w:tc>
        <w:tc>
          <w:tcPr/>
          <w:p>
            <w:pPr>
              <w:pStyle w:val="Compact"/>
            </w:pPr>
            <w:r>
              <w:t xml:space="preserve">F-012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Create controlled asset inventory (Confluence or SharePoint) with criticality tiers</w:t>
            </w:r>
          </w:p>
        </w:tc>
        <w:tc>
          <w:tcPr/>
          <w:p>
            <w:pPr>
              <w:pStyle w:val="Compact"/>
            </w:pPr>
            <w:r>
              <w:t xml:space="preserve">F-001, F-037, F-038, F-039, F-040, F-042, F-043, F-044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Define DR plan addendum for dev/test environments</w:t>
            </w:r>
          </w:p>
        </w:tc>
        <w:tc>
          <w:tcPr/>
          <w:p>
            <w:pPr>
              <w:pStyle w:val="Compact"/>
            </w:pPr>
            <w:r>
              <w:t xml:space="preserve">F-032</w:t>
            </w:r>
          </w:p>
        </w:tc>
      </w:tr>
    </w:tbl>
    <w:bookmarkEnd w:id="58"/>
    <w:bookmarkStart w:id="59" w:name="p3-items-60-120-days"/>
    <w:p>
      <w:pPr>
        <w:pStyle w:val="Heading3"/>
      </w:pPr>
      <w:r>
        <w:t xml:space="preserve">P3 Items (60-120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Finding(s)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Define disaster declaration criteria and decision authority</w:t>
            </w:r>
          </w:p>
        </w:tc>
        <w:tc>
          <w:tcPr/>
          <w:p>
            <w:pPr>
              <w:pStyle w:val="Compact"/>
            </w:pPr>
            <w:r>
              <w:t xml:space="preserve">F-029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Define client communication timelines and approval workflow</w:t>
            </w:r>
          </w:p>
        </w:tc>
        <w:tc>
          <w:tcPr/>
          <w:p>
            <w:pPr>
              <w:pStyle w:val="Compact"/>
            </w:pPr>
            <w:r>
              <w:t xml:space="preserve">F-035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 validation lifecycle linkage to SOP-IT-003 (post-DR re-validation)</w:t>
            </w:r>
          </w:p>
        </w:tc>
        <w:tc>
          <w:tcPr/>
          <w:p>
            <w:pPr>
              <w:pStyle w:val="Compact"/>
            </w:pPr>
            <w:r>
              <w:t xml:space="preserve">F-031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Define configuration baselines and cross-reference in SOP-IT-002</w:t>
            </w:r>
          </w:p>
        </w:tc>
        <w:tc>
          <w:tcPr/>
          <w:p>
            <w:pPr>
              <w:pStyle w:val="Compact"/>
            </w:pPr>
            <w:r>
              <w:t xml:space="preserve">F-025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Add validation lifecycle cross-reference to SOP-IT-002</w:t>
            </w:r>
          </w:p>
        </w:tc>
        <w:tc>
          <w:tcPr/>
          <w:p>
            <w:pPr>
              <w:pStyle w:val="Compact"/>
            </w:pPr>
            <w:r>
              <w:t xml:space="preserve">F-026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Define evidence storage and retention for service account reviews</w:t>
            </w:r>
          </w:p>
        </w:tc>
        <w:tc>
          <w:tcPr/>
          <w:p>
            <w:pPr>
              <w:pStyle w:val="Compact"/>
            </w:pPr>
            <w:r>
              <w:t xml:space="preserve">F-016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Add pre-onboarding risk/compliance assessment to SOP-IT-004</w:t>
            </w:r>
          </w:p>
        </w:tc>
        <w:tc>
          <w:tcPr/>
          <w:p>
            <w:pPr>
              <w:pStyle w:val="Compact"/>
            </w:pPr>
            <w:r>
              <w:t xml:space="preserve">F-041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Produce Infrastructure Requirements Document for validation traceability</w:t>
            </w:r>
          </w:p>
        </w:tc>
        <w:tc>
          <w:tcPr/>
          <w:p>
            <w:pPr>
              <w:pStyle w:val="Compact"/>
            </w:pPr>
            <w:r>
              <w:t xml:space="preserve">F-006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Define GAMP5-based validation lifecycle for non-product systems</w:t>
            </w:r>
          </w:p>
        </w:tc>
        <w:tc>
          <w:tcPr/>
          <w:p>
            <w:pPr>
              <w:pStyle w:val="Compact"/>
            </w:pPr>
            <w:r>
              <w:t xml:space="preserve">F-007</w:t>
            </w:r>
          </w:p>
        </w:tc>
      </w:tr>
    </w:tbl>
    <w:bookmarkEnd w:id="59"/>
    <w:bookmarkEnd w:id="60"/>
    <w:bookmarkEnd w:id="61"/>
    <w:bookmarkStart w:id="80" w:name="X49de47a2931329a4ca0b0ceadb3a73dfc2dfb89"/>
    <w:p>
      <w:pPr>
        <w:pStyle w:val="Heading1"/>
      </w:pPr>
      <w:r>
        <w:t xml:space="preserve">Audit Findings Response: Medium Risk Items</w:t>
      </w:r>
    </w:p>
    <w:p>
      <w:pPr>
        <w:pStyle w:val="FirstParagraph"/>
      </w:pPr>
      <w:r>
        <w:t xml:space="preserve">This document covers the Medium-rated findings from the audit findings</w:t>
      </w:r>
      <w:r>
        <w:t xml:space="preserve"> </w:t>
      </w:r>
      <w:r>
        <w:t xml:space="preserve">spreadsheet, with infrastructure-specific context and recommended</w:t>
      </w:r>
      <w:r>
        <w:t xml:space="preserve"> </w:t>
      </w:r>
      <w:r>
        <w:t xml:space="preserve">remediation steps. All Medium findings are rated P3 (60-120 days).</w:t>
      </w:r>
      <w:r>
        <w:t xml:space="preserve"> </w:t>
      </w:r>
      <w:r>
        <w:t xml:space="preserve">Findings are grouped by workstream.</w:t>
      </w:r>
    </w:p>
    <w:p>
      <w:r>
        <w:pict>
          <v:rect style="width:0;height:1.5pt" o:hralign="center" o:hrstd="t" o:hr="t"/>
        </w:pict>
      </w:r>
    </w:p>
    <w:bookmarkStart w:id="71" w:name="X4a0a38aa653afc476ad45e1924aabb980c46568"/>
    <w:p>
      <w:pPr>
        <w:pStyle w:val="Heading2"/>
      </w:pPr>
      <w:r>
        <w:t xml:space="preserve">Theme 1: Business Continuity and Disaster Recovery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F-020, F-034, F-036, F-046, F-047, F-048, F-049, F-051,</w:t>
      </w:r>
      <w:r>
        <w:t xml:space="preserve"> </w:t>
      </w:r>
      <w:r>
        <w:t xml:space="preserve">F-052, F-053, F-054</w:t>
      </w:r>
    </w:p>
    <w:p>
      <w:pPr>
        <w:pStyle w:val="BodyText"/>
      </w:pPr>
      <w:r>
        <w:t xml:space="preserve">Most of these findings (F-034, F-036, F-046, F-048, F-049, F-051, F-052,</w:t>
      </w:r>
      <w:r>
        <w:t xml:space="preserve"> </w:t>
      </w:r>
      <w:r>
        <w:t xml:space="preserve">F-053, F-054) are gaps in WI-IT-002 (Service Recovery) specifically. They</w:t>
      </w:r>
      <w:r>
        <w:t xml:space="preserve"> </w:t>
      </w:r>
      <w:r>
        <w:t xml:space="preserve">can largely be addressed in a single revision of that document rather than</w:t>
      </w:r>
      <w:r>
        <w:t xml:space="preserve"> </w:t>
      </w:r>
      <w:r>
        <w:t xml:space="preserve">as separate workstreams. F-020 is a gap in SOP-IT-001.</w:t>
      </w:r>
    </w:p>
    <w:bookmarkStart w:id="62" w:name="X80884cd36bca45e7440f0cc213ff166bd8752b2"/>
    <w:p>
      <w:pPr>
        <w:pStyle w:val="Heading3"/>
      </w:pPr>
      <w:r>
        <w:t xml:space="preserve">F-020 — SOP-IT-001 backup documentation incomplete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SOP-IT-001 states that restore requests go to the</w:t>
      </w:r>
      <w:r>
        <w:t xml:space="preserve"> </w:t>
      </w:r>
      <w:r>
        <w:t xml:space="preserve">“Software</w:t>
      </w:r>
      <w:r>
        <w:t xml:space="preserve"> </w:t>
      </w:r>
      <w:r>
        <w:t xml:space="preserve">Architect”</w:t>
      </w:r>
      <w:r>
        <w:t xml:space="preserve"> </w:t>
      </w:r>
      <w:r>
        <w:t xml:space="preserve">but does not define backup schedules, verification, restore</w:t>
      </w:r>
      <w:r>
        <w:t xml:space="preserve"> </w:t>
      </w:r>
      <w:r>
        <w:t xml:space="preserve">testing, or documentation requirements. MongoDB backup is not</w:t>
      </w:r>
      <w:r>
        <w:t xml:space="preserve"> </w:t>
      </w:r>
      <w:r>
        <w:t xml:space="preserve">distinguished from other backup types.</w:t>
      </w:r>
    </w:p>
    <w:p>
      <w:pPr>
        <w:pStyle w:val="BodyText"/>
      </w:pPr>
      <w:r>
        <w:rPr>
          <w:b/>
          <w:bCs/>
        </w:rPr>
        <w:t xml:space="preserve">Infrastructure context:</w:t>
      </w:r>
    </w:p>
    <w:p>
      <w:pPr>
        <w:pStyle w:val="BodyText"/>
      </w:pPr>
      <w:r>
        <w:t xml:space="preserve">MongoDB Atlas handles its own backups (PITR and scheduled snapshots per</w:t>
      </w:r>
      <w:r>
        <w:t xml:space="preserve"> </w:t>
      </w:r>
      <w:r>
        <w:t xml:space="preserve">cluster). The finding notes that the restore testing script needs to be</w:t>
      </w:r>
      <w:r>
        <w:t xml:space="preserve"> </w:t>
      </w:r>
      <w:r>
        <w:t xml:space="preserve">formally validated and automated. The intent is a weekly automated restore</w:t>
      </w:r>
      <w:r>
        <w:t xml:space="preserve"> </w:t>
      </w:r>
      <w:r>
        <w:t xml:space="preserve">test to start.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45"/>
        </w:numPr>
      </w:pPr>
      <w:r>
        <w:t xml:space="preserve">Update SOP-IT-001 to describe the MongoDB Atlas backup model</w:t>
      </w:r>
      <w:r>
        <w:t xml:space="preserve"> </w:t>
      </w:r>
      <w:r>
        <w:t xml:space="preserve">explicitly: PITR-enabled per sub-environment cluster for prod/staging,</w:t>
      </w:r>
      <w:r>
        <w:t xml:space="preserve"> </w:t>
      </w:r>
      <w:r>
        <w:t xml:space="preserve">snapshot-based for dev/test/platform. Document the retention windows.</w:t>
      </w:r>
      <w:r>
        <w:t xml:space="preserve"> </w:t>
      </w:r>
      <w:r>
        <w:t xml:space="preserve">Note that Atlas is a managed service and Korio relies on Atlas’s</w:t>
      </w:r>
      <w:r>
        <w:t xml:space="preserve"> </w:t>
      </w:r>
      <w:r>
        <w:t xml:space="preserve">built-in backup infrastructure rather than running its own backup</w:t>
      </w:r>
      <w:r>
        <w:t xml:space="preserve"> </w:t>
      </w:r>
      <w:r>
        <w:t xml:space="preserve">agent – explain this explicitly so client auditors understand the</w:t>
      </w:r>
      <w:r>
        <w:t xml:space="preserve"> </w:t>
      </w:r>
      <w:r>
        <w:t xml:space="preserve">model.</w:t>
      </w:r>
    </w:p>
    <w:p>
      <w:pPr>
        <w:numPr>
          <w:ilvl w:val="0"/>
          <w:numId w:val="1045"/>
        </w:numPr>
      </w:pPr>
      <w:r>
        <w:t xml:space="preserve">Formalise the restore testing procedure:</w:t>
      </w:r>
    </w:p>
    <w:p>
      <w:pPr>
        <w:pStyle w:val="Compact"/>
        <w:numPr>
          <w:ilvl w:val="1"/>
          <w:numId w:val="1046"/>
        </w:numPr>
      </w:pPr>
      <w:r>
        <w:t xml:space="preserve">The testing script referenced in the finding should be documented,</w:t>
      </w:r>
      <w:r>
        <w:t xml:space="preserve"> </w:t>
      </w:r>
      <w:r>
        <w:t xml:space="preserve">version-controlled, and executed in a non-production Atlas cluster</w:t>
      </w:r>
      <w:r>
        <w:t xml:space="preserve"> </w:t>
      </w:r>
      <w:r>
        <w:t xml:space="preserve">to avoid impact on live data.</w:t>
      </w:r>
    </w:p>
    <w:p>
      <w:pPr>
        <w:pStyle w:val="Compact"/>
        <w:numPr>
          <w:ilvl w:val="1"/>
          <w:numId w:val="1046"/>
        </w:numPr>
      </w:pPr>
      <w:r>
        <w:t xml:space="preserve">Once validated, configure the script to run on an automated schedule</w:t>
      </w:r>
      <w:r>
        <w:t xml:space="preserve"> </w:t>
      </w:r>
      <w:r>
        <w:t xml:space="preserve">(weekly as a starting cadence) via a GitHub Actions workflow or a</w:t>
      </w:r>
      <w:r>
        <w:t xml:space="preserve"> </w:t>
      </w:r>
      <w:r>
        <w:t xml:space="preserve">cron-triggered Azure function.</w:t>
      </w:r>
    </w:p>
    <w:p>
      <w:pPr>
        <w:pStyle w:val="Compact"/>
        <w:numPr>
          <w:ilvl w:val="1"/>
          <w:numId w:val="1046"/>
        </w:numPr>
      </w:pPr>
      <w:r>
        <w:t xml:space="preserve">The script output (success/failure, timestamp, cluster tested,</w:t>
      </w:r>
      <w:r>
        <w:t xml:space="preserve"> </w:t>
      </w:r>
      <w:r>
        <w:t xml:space="preserve">data spot-check result) constitutes the restore test evidence.</w:t>
      </w:r>
      <w:r>
        <w:t xml:space="preserve"> </w:t>
      </w:r>
      <w:r>
        <w:t xml:space="preserve">Define where this evidence is retained (see F-034 / F-048 below).</w:t>
      </w:r>
    </w:p>
    <w:p>
      <w:pPr>
        <w:numPr>
          <w:ilvl w:val="0"/>
          <w:numId w:val="1045"/>
        </w:numPr>
      </w:pPr>
      <w:r>
        <w:t xml:space="preserve">Replace</w:t>
      </w:r>
      <w:r>
        <w:t xml:space="preserve"> </w:t>
      </w:r>
      <w:r>
        <w:t xml:space="preserve">“Software Architect”</w:t>
      </w:r>
      <w:r>
        <w:t xml:space="preserve"> </w:t>
      </w:r>
      <w:r>
        <w:t xml:space="preserve">with the current role responsible for</w:t>
      </w:r>
      <w:r>
        <w:t xml:space="preserve"> </w:t>
      </w:r>
      <w:r>
        <w:t xml:space="preserve">restore requests (see F-012 in the High findings response for the</w:t>
      </w:r>
      <w:r>
        <w:t xml:space="preserve"> </w:t>
      </w:r>
      <w:r>
        <w:t xml:space="preserve">general SOP role alignment issue).</w:t>
      </w:r>
    </w:p>
    <w:p>
      <w:pPr>
        <w:numPr>
          <w:ilvl w:val="0"/>
          <w:numId w:val="1045"/>
        </w:numPr>
      </w:pPr>
      <w:r>
        <w:t xml:space="preserve">The SOP should note that vendor-managed backups (Atlas, Microsoft 365</w:t>
      </w:r>
      <w:r>
        <w:t xml:space="preserve"> </w:t>
      </w:r>
      <w:r>
        <w:t xml:space="preserve">for SharePoint) provide a baseline, but Korio bears responsibility for</w:t>
      </w:r>
      <w:r>
        <w:t xml:space="preserve"> </w:t>
      </w:r>
      <w:r>
        <w:t xml:space="preserve">testing recoverability, not the vendor.</w:t>
      </w:r>
    </w:p>
    <w:bookmarkEnd w:id="62"/>
    <w:bookmarkStart w:id="70" w:name="Xfb8610ebff41dee5208e111328de883e90e2315"/>
    <w:p>
      <w:pPr>
        <w:pStyle w:val="Heading3"/>
      </w:pPr>
      <w:r>
        <w:t xml:space="preserve">WI-IT-002 Revision: Addressing F-034, F-036, F-046, F-048, F-049, F-051, F-052, F-053, F-054 in a single pass</w:t>
      </w:r>
    </w:p>
    <w:p>
      <w:pPr>
        <w:pStyle w:val="FirstParagraph"/>
      </w:pPr>
      <w:r>
        <w:t xml:space="preserve">WI-IT-002 (Service Recovery) currently describes technical recovery steps</w:t>
      </w:r>
      <w:r>
        <w:t xml:space="preserve"> </w:t>
      </w:r>
      <w:r>
        <w:t xml:space="preserve">but is missing the surrounding governance elements that make it a</w:t>
      </w:r>
      <w:r>
        <w:t xml:space="preserve"> </w:t>
      </w:r>
      <w:r>
        <w:t xml:space="preserve">complete, auditable procedure. The nine findings below map to nine</w:t>
      </w:r>
      <w:r>
        <w:t xml:space="preserve"> </w:t>
      </w:r>
      <w:r>
        <w:t xml:space="preserve">distinct gaps in the document. Rather than addressing each as a separate</w:t>
      </w:r>
      <w:r>
        <w:t xml:space="preserve"> </w:t>
      </w:r>
      <w:r>
        <w:t xml:space="preserve">workstream, a single revision of WI-IT-002 should incorporate all of</w:t>
      </w:r>
      <w:r>
        <w:t xml:space="preserve"> </w:t>
      </w:r>
      <w:r>
        <w:t xml:space="preserve">them.</w:t>
      </w:r>
    </w:p>
    <w:bookmarkStart w:id="63" w:name="X70c362585d48f54b912cccd9f1c455d953033fd"/>
    <w:p>
      <w:pPr>
        <w:pStyle w:val="Heading4"/>
      </w:pPr>
      <w:r>
        <w:t xml:space="preserve">F-046 / F-053 — No invocation criteria, declaration authority, or escalation matrix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does not say when to invoke the procedure, who</w:t>
      </w:r>
      <w:r>
        <w:t xml:space="preserve"> </w:t>
      </w:r>
      <w:r>
        <w:t xml:space="preserve">declares a recovery event, or define an escalation path.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47"/>
        </w:numPr>
      </w:pPr>
      <w:r>
        <w:t xml:space="preserve">Add an</w:t>
      </w:r>
      <w:r>
        <w:t xml:space="preserve"> </w:t>
      </w:r>
      <w:r>
        <w:t xml:space="preserve">“Invocation”</w:t>
      </w:r>
      <w:r>
        <w:t xml:space="preserve"> </w:t>
      </w:r>
      <w:r>
        <w:t xml:space="preserve">section at the front of WI-IT-002 that references</w:t>
      </w:r>
      <w:r>
        <w:t xml:space="preserve"> </w:t>
      </w:r>
      <w:r>
        <w:t xml:space="preserve">the formal disaster declaration criteria to be defined in SOP-IT-003</w:t>
      </w:r>
      <w:r>
        <w:t xml:space="preserve"> </w:t>
      </w:r>
      <w:r>
        <w:t xml:space="preserve">(see F-029 in the High findings response). The work instruction should</w:t>
      </w:r>
      <w:r>
        <w:t xml:space="preserve"> </w:t>
      </w:r>
      <w:r>
        <w:t xml:space="preserve">not duplicate the criteria – it should reference the SOP.</w:t>
      </w:r>
    </w:p>
    <w:p>
      <w:pPr>
        <w:numPr>
          <w:ilvl w:val="0"/>
          <w:numId w:val="1047"/>
        </w:numPr>
      </w:pPr>
      <w:r>
        <w:t xml:space="preserve">Define the escalation matrix for recovery events. This can be a simple</w:t>
      </w:r>
      <w:r>
        <w:t xml:space="preserve"> </w:t>
      </w:r>
      <w:r>
        <w:t xml:space="preserve">table of roles with maximum hold times before escalation. Suggested</w:t>
      </w:r>
      <w:r>
        <w:t xml:space="preserve"> </w:t>
      </w:r>
      <w:r>
        <w:t xml:space="preserve">structure: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Max hold time before escalating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On-call engineer (PagerDuty primary)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CTO / COO</w:t>
            </w:r>
          </w:p>
        </w:tc>
        <w:tc>
          <w:tcPr/>
          <w:p>
            <w:pPr>
              <w:pStyle w:val="Compact"/>
            </w:pPr>
            <w:r>
              <w:t xml:space="preserve">Immediately if data loss confirmed or validated sub-env affected</w:t>
            </w:r>
          </w:p>
        </w:tc>
      </w:tr>
    </w:tbl>
    <w:p>
      <w:pPr>
        <w:numPr>
          <w:ilvl w:val="0"/>
          <w:numId w:val="1047"/>
        </w:numPr>
      </w:pPr>
      <w:r>
        <w:t xml:space="preserve">Cross-reference this escalation matrix in SOP-IT-003’s RACI (see</w:t>
      </w:r>
      <w:r>
        <w:t xml:space="preserve"> </w:t>
      </w:r>
      <w:r>
        <w:t xml:space="preserve">F-036 below).</w:t>
      </w:r>
    </w:p>
    <w:bookmarkEnd w:id="63"/>
    <w:bookmarkStart w:id="64" w:name="Xe4a281c3dfdca5b8a0f8665be50eba6930e2689"/>
    <w:p>
      <w:pPr>
        <w:pStyle w:val="Heading4"/>
      </w:pPr>
      <w:r>
        <w:t xml:space="preserve">F-036 — No formal RACI matrix for DR execution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Roles in SOP-IT-003 are described at a high level without a</w:t>
      </w:r>
      <w:r>
        <w:t xml:space="preserve"> </w:t>
      </w:r>
      <w:r>
        <w:t xml:space="preserve">RACI.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48"/>
        </w:numPr>
      </w:pPr>
      <w:r>
        <w:t xml:space="preserve">Add a RACI matrix to SOP-IT-003 covering the key activities:</w:t>
      </w:r>
      <w:r>
        <w:t xml:space="preserve"> </w:t>
      </w:r>
      <w:r>
        <w:t xml:space="preserve">disaster detection, disaster declaration, recovery execution, client</w:t>
      </w:r>
      <w:r>
        <w:t xml:space="preserve"> </w:t>
      </w:r>
      <w:r>
        <w:t xml:space="preserve">communication, validation/QA sign-off, and post-mortem. Suggested</w:t>
      </w:r>
      <w:r>
        <w:t xml:space="preserve"> </w:t>
      </w:r>
      <w:r>
        <w:t xml:space="preserve">roles: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Technical Lead (DevOps)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QA /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disaster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 recovery steps (WI-IT-002)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notification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Post-recovery checklist sign-off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approval before resuming production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Post-mortem documentation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numPr>
          <w:ilvl w:val="0"/>
          <w:numId w:val="1000"/>
        </w:numPr>
      </w:pPr>
      <w:r>
        <w:t xml:space="preserve">Assign current named roles (not individuals) to each column and</w:t>
      </w:r>
      <w:r>
        <w:t xml:space="preserve"> </w:t>
      </w:r>
      <w:r>
        <w:t xml:space="preserve">cross-reference WI-IT-002.</w:t>
      </w:r>
    </w:p>
    <w:bookmarkEnd w:id="64"/>
    <w:bookmarkStart w:id="65" w:name="X8a80337958a228261699d1452832d136a007dc5"/>
    <w:p>
      <w:pPr>
        <w:pStyle w:val="Heading4"/>
      </w:pPr>
      <w:r>
        <w:t xml:space="preserve">F-049 — Recovery steps assume backups are available without verification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assumes Atlas PITR and AKS persistent volume snapshots</w:t>
      </w:r>
      <w:r>
        <w:t xml:space="preserve"> </w:t>
      </w:r>
      <w:r>
        <w:t xml:space="preserve">are available at the point of need, without requiring any pre-event</w:t>
      </w:r>
      <w:r>
        <w:t xml:space="preserve"> </w:t>
      </w:r>
      <w:r>
        <w:t xml:space="preserve">verification.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49"/>
        </w:numPr>
      </w:pPr>
      <w:r>
        <w:t xml:space="preserve">Add a pre-recovery assumption check step at the start of the recovery</w:t>
      </w:r>
      <w:r>
        <w:t xml:space="preserve"> </w:t>
      </w:r>
      <w:r>
        <w:t xml:space="preserve">procedure: before initiating restore, confirm that the target PITR</w:t>
      </w:r>
      <w:r>
        <w:t xml:space="preserve"> </w:t>
      </w:r>
      <w:r>
        <w:t xml:space="preserve">timestamp or snapshot exists in Atlas and that AKS persistent volume</w:t>
      </w:r>
      <w:r>
        <w:t xml:space="preserve"> </w:t>
      </w:r>
      <w:r>
        <w:t xml:space="preserve">snapshots are within the expected retention window.</w:t>
      </w:r>
    </w:p>
    <w:p>
      <w:pPr>
        <w:pStyle w:val="Compact"/>
        <w:numPr>
          <w:ilvl w:val="0"/>
          <w:numId w:val="1049"/>
        </w:numPr>
      </w:pPr>
      <w:r>
        <w:t xml:space="preserve">This check is the operational manifestation of the automated restore</w:t>
      </w:r>
      <w:r>
        <w:t xml:space="preserve"> </w:t>
      </w:r>
      <w:r>
        <w:t xml:space="preserve">testing defined in F-020 / F-033 (High findings): if the weekly</w:t>
      </w:r>
      <w:r>
        <w:t xml:space="preserve"> </w:t>
      </w:r>
      <w:r>
        <w:t xml:space="preserve">automated test passes, you have recent evidence that backups are</w:t>
      </w:r>
      <w:r>
        <w:t xml:space="preserve"> </w:t>
      </w:r>
      <w:r>
        <w:t xml:space="preserve">available. WI-IT-002 should reference this automated test cadence as</w:t>
      </w:r>
      <w:r>
        <w:t xml:space="preserve"> </w:t>
      </w:r>
      <w:r>
        <w:t xml:space="preserve">the mechanism that validates the backup assumption.</w:t>
      </w:r>
    </w:p>
    <w:p>
      <w:pPr>
        <w:pStyle w:val="Compact"/>
        <w:numPr>
          <w:ilvl w:val="0"/>
          <w:numId w:val="1049"/>
        </w:numPr>
      </w:pPr>
      <w:r>
        <w:t xml:space="preserve">If the pre-recovery check fails (e.g., PITR is unavailable), define</w:t>
      </w:r>
      <w:r>
        <w:t xml:space="preserve"> </w:t>
      </w:r>
      <w:r>
        <w:t xml:space="preserve">the fallback: escalate immediately to DevOps Lead; contact Atlas</w:t>
      </w:r>
      <w:r>
        <w:t xml:space="preserve"> </w:t>
      </w:r>
      <w:r>
        <w:t xml:space="preserve">support; document the failure.</w:t>
      </w:r>
    </w:p>
    <w:bookmarkEnd w:id="65"/>
    <w:bookmarkStart w:id="66" w:name="Xde97bc457caf190276f996cc467c56518c80d33"/>
    <w:p>
      <w:pPr>
        <w:pStyle w:val="Heading4"/>
      </w:pPr>
      <w:r>
        <w:t xml:space="preserve">F-048 / F-034 — No defined storage or retention for recovery evidence and DR records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does not define where recovery logs, evidence, or</w:t>
      </w:r>
      <w:r>
        <w:t xml:space="preserve"> </w:t>
      </w:r>
      <w:r>
        <w:t xml:space="preserve">restoration artefacts must be stored. SOP-IT-003 does not define retention</w:t>
      </w:r>
      <w:r>
        <w:t xml:space="preserve"> </w:t>
      </w:r>
      <w:r>
        <w:t xml:space="preserve">requirements for DR tests, events, or post-mortems.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50"/>
        </w:numPr>
      </w:pPr>
      <w:r>
        <w:t xml:space="preserve">Define a single location for all DR and recovery records. Given the</w:t>
      </w:r>
      <w:r>
        <w:t xml:space="preserve"> </w:t>
      </w:r>
      <w:r>
        <w:t xml:space="preserve">existing tooling, either a dedicated Confluence space or a SharePoint</w:t>
      </w:r>
      <w:r>
        <w:t xml:space="preserve"> </w:t>
      </w:r>
      <w:r>
        <w:t xml:space="preserve">folder is appropriate. The location must be access-controlled and</w:t>
      </w:r>
      <w:r>
        <w:t xml:space="preserve"> </w:t>
      </w:r>
      <w:r>
        <w:t xml:space="preserve">maintain edit history.</w:t>
      </w:r>
    </w:p>
    <w:p>
      <w:pPr>
        <w:pStyle w:val="Compact"/>
        <w:numPr>
          <w:ilvl w:val="0"/>
          <w:numId w:val="1050"/>
        </w:numPr>
      </w:pPr>
      <w:r>
        <w:t xml:space="preserve">Define the required artefacts for each recovery event:</w:t>
      </w:r>
    </w:p>
    <w:p>
      <w:pPr>
        <w:pStyle w:val="Compact"/>
        <w:numPr>
          <w:ilvl w:val="1"/>
          <w:numId w:val="1051"/>
        </w:numPr>
      </w:pPr>
      <w:r>
        <w:t xml:space="preserve">Timeline log (start time, each action taken with timestamp, recovery</w:t>
      </w:r>
      <w:r>
        <w:t xml:space="preserve"> </w:t>
      </w:r>
      <w:r>
        <w:t xml:space="preserve">complete time)</w:t>
      </w:r>
    </w:p>
    <w:p>
      <w:pPr>
        <w:pStyle w:val="Compact"/>
        <w:numPr>
          <w:ilvl w:val="1"/>
          <w:numId w:val="1051"/>
        </w:numPr>
      </w:pPr>
      <w:r>
        <w:t xml:space="preserve">Atlas restore confirmation (timestamp restored to, verification</w:t>
      </w:r>
      <w:r>
        <w:t xml:space="preserve"> </w:t>
      </w:r>
      <w:r>
        <w:t xml:space="preserve">result, Key Vault re-sync confirmation)</w:t>
      </w:r>
    </w:p>
    <w:p>
      <w:pPr>
        <w:pStyle w:val="Compact"/>
        <w:numPr>
          <w:ilvl w:val="1"/>
          <w:numId w:val="1051"/>
        </w:numPr>
      </w:pPr>
      <w:r>
        <w:t xml:space="preserve">Post-recovery checklist (from F-030 / F-047 in the High findings</w:t>
      </w:r>
      <w:r>
        <w:t xml:space="preserve"> </w:t>
      </w:r>
      <w:r>
        <w:t xml:space="preserve">response)</w:t>
      </w:r>
    </w:p>
    <w:p>
      <w:pPr>
        <w:pStyle w:val="Compact"/>
        <w:numPr>
          <w:ilvl w:val="1"/>
          <w:numId w:val="1051"/>
        </w:numPr>
      </w:pPr>
      <w:r>
        <w:t xml:space="preserve">Client communication log (who was notified, when, and by whom)</w:t>
      </w:r>
    </w:p>
    <w:p>
      <w:pPr>
        <w:pStyle w:val="Compact"/>
        <w:numPr>
          <w:ilvl w:val="1"/>
          <w:numId w:val="1051"/>
        </w:numPr>
      </w:pPr>
      <w:r>
        <w:t xml:space="preserve">QA sign-off record</w:t>
      </w:r>
    </w:p>
    <w:p>
      <w:pPr>
        <w:pStyle w:val="Compact"/>
        <w:numPr>
          <w:ilvl w:val="0"/>
          <w:numId w:val="1050"/>
        </w:numPr>
      </w:pPr>
      <w:r>
        <w:t xml:space="preserve">Define the retention period in SOP-IT-003. Align with quality</w:t>
      </w:r>
      <w:r>
        <w:t xml:space="preserve"> </w:t>
      </w:r>
      <w:r>
        <w:t xml:space="preserve">management retention requirements. A reasonable baseline for GxP</w:t>
      </w:r>
      <w:r>
        <w:t xml:space="preserve"> </w:t>
      </w:r>
      <w:r>
        <w:t xml:space="preserve">recovery records: the life of the affected system plus 2 years, or</w:t>
      </w:r>
      <w:r>
        <w:t xml:space="preserve"> </w:t>
      </w:r>
      <w:r>
        <w:t xml:space="preserve">the applicable regulatory minimum (whichever is longer).</w:t>
      </w:r>
    </w:p>
    <w:p>
      <w:pPr>
        <w:pStyle w:val="Compact"/>
        <w:numPr>
          <w:ilvl w:val="0"/>
          <w:numId w:val="1050"/>
        </w:numPr>
      </w:pPr>
      <w:r>
        <w:t xml:space="preserve">For DR test records (annual or more frequent exercises): retain</w:t>
      </w:r>
      <w:r>
        <w:t xml:space="preserve"> </w:t>
      </w:r>
      <w:r>
        <w:t xml:space="preserve">indefinitely as evidence of ongoing DR readiness.</w:t>
      </w:r>
    </w:p>
    <w:bookmarkEnd w:id="66"/>
    <w:bookmarkStart w:id="67" w:name="Xd1c637d86a4cf40e2336cde1a332b8463a8e44b"/>
    <w:p>
      <w:pPr>
        <w:pStyle w:val="Heading4"/>
      </w:pPr>
      <w:r>
        <w:t xml:space="preserve">F-051 — No communication responsibilities during recovery events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does not define internal or client communication</w:t>
      </w:r>
      <w:r>
        <w:t xml:space="preserve"> </w:t>
      </w:r>
      <w:r>
        <w:t xml:space="preserve">during recovery.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52"/>
        </w:numPr>
      </w:pPr>
      <w:r>
        <w:t xml:space="preserve">Add a</w:t>
      </w:r>
      <w:r>
        <w:t xml:space="preserve"> </w:t>
      </w:r>
      <w:r>
        <w:t xml:space="preserve">“Communications”</w:t>
      </w:r>
      <w:r>
        <w:t xml:space="preserve"> </w:t>
      </w:r>
      <w:r>
        <w:t xml:space="preserve">section to WI-IT-002 that references the</w:t>
      </w:r>
      <w:r>
        <w:t xml:space="preserve"> </w:t>
      </w:r>
      <w:r>
        <w:t xml:space="preserve">timelines and approval workflow to be defined in SOP-IT-003 (see</w:t>
      </w:r>
      <w:r>
        <w:t xml:space="preserve"> </w:t>
      </w:r>
      <w:r>
        <w:t xml:space="preserve">F-035 in the High findings response). The work instruction should</w:t>
      </w:r>
      <w:r>
        <w:t xml:space="preserve"> </w:t>
      </w:r>
      <w:r>
        <w:t xml:space="preserve">reference, not duplicate, the communication plan.</w:t>
      </w:r>
    </w:p>
    <w:p>
      <w:pPr>
        <w:pStyle w:val="Compact"/>
        <w:numPr>
          <w:ilvl w:val="0"/>
          <w:numId w:val="1052"/>
        </w:numPr>
      </w:pPr>
      <w:r>
        <w:t xml:space="preserve">At minimum, WI-IT-002 should specify: who is responsible for</w:t>
      </w:r>
      <w:r>
        <w:t xml:space="preserve"> </w:t>
      </w:r>
      <w:r>
        <w:t xml:space="preserve">notifying the Communications Lead when a recovery event is declared</w:t>
      </w:r>
      <w:r>
        <w:t xml:space="preserve"> </w:t>
      </w:r>
      <w:r>
        <w:t xml:space="preserve">(typically the Incident Commander), and what information must be</w:t>
      </w:r>
      <w:r>
        <w:t xml:space="preserve"> </w:t>
      </w:r>
      <w:r>
        <w:t xml:space="preserve">included in the handoff (affected sub-environments, initial impact</w:t>
      </w:r>
      <w:r>
        <w:t xml:space="preserve"> </w:t>
      </w:r>
      <w:r>
        <w:t xml:space="preserve">assessment, estimated recovery time).</w:t>
      </w:r>
    </w:p>
    <w:bookmarkEnd w:id="67"/>
    <w:bookmarkStart w:id="68" w:name="X7c15d818e25c707eea53e6adefca4e0a09d32a8"/>
    <w:p>
      <w:pPr>
        <w:pStyle w:val="Heading4"/>
      </w:pPr>
      <w:r>
        <w:t xml:space="preserve">F-052 —</w:t>
      </w:r>
      <w:r>
        <w:t xml:space="preserve"> </w:t>
      </w:r>
      <w:r>
        <w:t xml:space="preserve">“Resume Procedure”</w:t>
      </w:r>
      <w:r>
        <w:t xml:space="preserve"> </w:t>
      </w:r>
      <w:r>
        <w:t xml:space="preserve">lacks approval criteria before resuming operations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states to deploy services and ensure functionality</w:t>
      </w:r>
      <w:r>
        <w:t xml:space="preserve"> </w:t>
      </w:r>
      <w:r>
        <w:t xml:space="preserve">but does not define acceptance criteria or authorisation before resuming.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53"/>
        </w:numPr>
      </w:pPr>
      <w:r>
        <w:t xml:space="preserve">Replace the current</w:t>
      </w:r>
      <w:r>
        <w:t xml:space="preserve"> </w:t>
      </w:r>
      <w:r>
        <w:t xml:space="preserve">“Resume Procedure”</w:t>
      </w:r>
      <w:r>
        <w:t xml:space="preserve"> </w:t>
      </w:r>
      <w:r>
        <w:t xml:space="preserve">section with a structured</w:t>
      </w:r>
      <w:r>
        <w:t xml:space="preserve"> </w:t>
      </w:r>
      <w:r>
        <w:t xml:space="preserve">sign-off checklist (consistent with the post-recovery checklist</w:t>
      </w:r>
      <w:r>
        <w:t xml:space="preserve"> </w:t>
      </w:r>
      <w:r>
        <w:t xml:space="preserve">defined for F-030 / F-047 in the High findings response). The</w:t>
      </w:r>
      <w:r>
        <w:t xml:space="preserve"> </w:t>
      </w:r>
      <w:r>
        <w:t xml:space="preserve">checklist should be a required artefact before declaring restoration</w:t>
      </w:r>
      <w:r>
        <w:t xml:space="preserve"> </w:t>
      </w:r>
      <w:r>
        <w:t xml:space="preserve">complete.</w:t>
      </w:r>
    </w:p>
    <w:p>
      <w:pPr>
        <w:pStyle w:val="Compact"/>
        <w:numPr>
          <w:ilvl w:val="0"/>
          <w:numId w:val="1053"/>
        </w:numPr>
      </w:pPr>
      <w:r>
        <w:t xml:space="preserve">Add a formal authorisation step: Engineering sign-off that the</w:t>
      </w:r>
      <w:r>
        <w:t xml:space="preserve"> </w:t>
      </w:r>
      <w:r>
        <w:t xml:space="preserve">checklist is complete, followed by QA approval for any validated</w:t>
      </w:r>
      <w:r>
        <w:t xml:space="preserve"> </w:t>
      </w:r>
      <w:r>
        <w:t xml:space="preserve">sub-environment. The QA approval record becomes part of the recovery</w:t>
      </w:r>
      <w:r>
        <w:t xml:space="preserve"> </w:t>
      </w:r>
      <w:r>
        <w:t xml:space="preserve">evidence (see F-048 above).</w:t>
      </w:r>
    </w:p>
    <w:bookmarkEnd w:id="68"/>
    <w:bookmarkStart w:id="69" w:name="Xcf038bc9d647a5c4d9897a4ff261117afa34cb0"/>
    <w:p>
      <w:pPr>
        <w:pStyle w:val="Heading4"/>
      </w:pPr>
      <w:r>
        <w:t xml:space="preserve">F-054 — No post-recovery review or post-mortem requirement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WI-IT-002 does not require a post-mortem following service</w:t>
      </w:r>
      <w:r>
        <w:t xml:space="preserve"> </w:t>
      </w:r>
      <w:r>
        <w:t xml:space="preserve">restoration.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54"/>
        </w:numPr>
      </w:pPr>
      <w:r>
        <w:t xml:space="preserve">Add a mandatory post-mortem step to WI-IT-002 for any event that</w:t>
      </w:r>
      <w:r>
        <w:t xml:space="preserve"> </w:t>
      </w:r>
      <w:r>
        <w:t xml:space="preserve">reached a disaster declaration. The post-mortem should be completed</w:t>
      </w:r>
      <w:r>
        <w:t xml:space="preserve"> </w:t>
      </w:r>
      <w:r>
        <w:t xml:space="preserve">within 5 business days of recovery and must include:</w:t>
      </w:r>
    </w:p>
    <w:p>
      <w:pPr>
        <w:pStyle w:val="Compact"/>
        <w:numPr>
          <w:ilvl w:val="1"/>
          <w:numId w:val="1055"/>
        </w:numPr>
      </w:pPr>
      <w:r>
        <w:t xml:space="preserve">Timeline of the event from detection to resolution</w:t>
      </w:r>
    </w:p>
    <w:p>
      <w:pPr>
        <w:pStyle w:val="Compact"/>
        <w:numPr>
          <w:ilvl w:val="1"/>
          <w:numId w:val="1055"/>
        </w:numPr>
      </w:pPr>
      <w:r>
        <w:t xml:space="preserve">Root cause (or</w:t>
      </w:r>
      <w:r>
        <w:t xml:space="preserve"> </w:t>
      </w:r>
      <w:r>
        <w:t xml:space="preserve">“root cause under investigation”</w:t>
      </w:r>
      <w:r>
        <w:t xml:space="preserve"> </w:t>
      </w:r>
      <w:r>
        <w:t xml:space="preserve">if not yet</w:t>
      </w:r>
      <w:r>
        <w:t xml:space="preserve"> </w:t>
      </w:r>
      <w:r>
        <w:t xml:space="preserve">confirmed)</w:t>
      </w:r>
    </w:p>
    <w:p>
      <w:pPr>
        <w:pStyle w:val="Compact"/>
        <w:numPr>
          <w:ilvl w:val="1"/>
          <w:numId w:val="1055"/>
        </w:numPr>
      </w:pPr>
      <w:r>
        <w:t xml:space="preserve">Actions taken during recovery and their effectiveness</w:t>
      </w:r>
    </w:p>
    <w:p>
      <w:pPr>
        <w:pStyle w:val="Compact"/>
        <w:numPr>
          <w:ilvl w:val="1"/>
          <w:numId w:val="1055"/>
        </w:numPr>
      </w:pPr>
      <w:r>
        <w:t xml:space="preserve">Identified gaps (process, tooling, or documentation)</w:t>
      </w:r>
    </w:p>
    <w:p>
      <w:pPr>
        <w:pStyle w:val="Compact"/>
        <w:numPr>
          <w:ilvl w:val="1"/>
          <w:numId w:val="1055"/>
        </w:numPr>
      </w:pPr>
      <w:r>
        <w:t xml:space="preserve">Action items with owners and due dates</w:t>
      </w:r>
    </w:p>
    <w:p>
      <w:pPr>
        <w:pStyle w:val="Compact"/>
        <w:numPr>
          <w:ilvl w:val="0"/>
          <w:numId w:val="1054"/>
        </w:numPr>
      </w:pPr>
      <w:r>
        <w:t xml:space="preserve">Define the trigger for escalating a post-mortem finding to a CAPA:</w:t>
      </w:r>
      <w:r>
        <w:t xml:space="preserve"> </w:t>
      </w:r>
      <w:r>
        <w:t xml:space="preserve">any systemic issue, any data integrity concern, any finding that a</w:t>
      </w:r>
      <w:r>
        <w:t xml:space="preserve"> </w:t>
      </w:r>
      <w:r>
        <w:t xml:space="preserve">documented procedure was not followed or was insufficient.</w:t>
      </w:r>
    </w:p>
    <w:p>
      <w:pPr>
        <w:pStyle w:val="Compact"/>
        <w:numPr>
          <w:ilvl w:val="0"/>
          <w:numId w:val="1054"/>
        </w:numPr>
      </w:pPr>
      <w:r>
        <w:t xml:space="preserve">Post-mortem records are retained per F-034 / F-048 above.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X68eef774b28c463b47ea92a9d48f9adeb725a83"/>
    <w:p>
      <w:pPr>
        <w:pStyle w:val="Heading2"/>
      </w:pPr>
      <w:r>
        <w:t xml:space="preserve">Theme 2: Change Management and Maintenance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F-008, F-009, F-027</w:t>
      </w:r>
    </w:p>
    <w:bookmarkStart w:id="72" w:name="X7d49a1a968af711e9789143aebd5be9a3d2f7fb"/>
    <w:p>
      <w:pPr>
        <w:pStyle w:val="Heading3"/>
      </w:pPr>
      <w:r>
        <w:t xml:space="preserve">F-008 — Infrastructure maintenance process not formally defined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Master Validation Plan requires a formal infrastructure</w:t>
      </w:r>
      <w:r>
        <w:t xml:space="preserve"> </w:t>
      </w:r>
      <w:r>
        <w:t xml:space="preserve">maintenance process but none is documented. The finding notes that a CCB</w:t>
      </w:r>
      <w:r>
        <w:t xml:space="preserve"> </w:t>
      </w:r>
      <w:r>
        <w:t xml:space="preserve">exists, tickets are raised, assessments are done, and validation is</w:t>
      </w:r>
      <w:r>
        <w:t xml:space="preserve"> </w:t>
      </w:r>
      <w:r>
        <w:t xml:space="preserve">executed – but there is no automated smoke testing to verify that routine</w:t>
      </w:r>
      <w:r>
        <w:t xml:space="preserve"> </w:t>
      </w:r>
      <w:r>
        <w:t xml:space="preserve">maintenance (e.g., AKS node pool updates, Atlas minor version upgrades,</w:t>
      </w:r>
      <w:r>
        <w:t xml:space="preserve"> </w:t>
      </w:r>
      <w:r>
        <w:t xml:space="preserve">Helm chart bumps) has not broken anything.</w:t>
      </w:r>
    </w:p>
    <w:p>
      <w:pPr>
        <w:pStyle w:val="BodyText"/>
      </w:pPr>
      <w:r>
        <w:rPr>
          <w:b/>
          <w:bCs/>
        </w:rPr>
        <w:t xml:space="preserve">Infrastructure context:</w:t>
      </w:r>
    </w:p>
    <w:p>
      <w:pPr>
        <w:pStyle w:val="BodyText"/>
      </w:pPr>
      <w:r>
        <w:t xml:space="preserve">The biggest surface area for routine maintenance in this platform is:</w:t>
      </w:r>
      <w:r>
        <w:t xml:space="preserve"> </w:t>
      </w:r>
      <w:r>
        <w:t xml:space="preserve">- AKS node pool OS updates and Kubernetes minor version upgrades (Azure</w:t>
      </w:r>
      <w:r>
        <w:t xml:space="preserve"> </w:t>
      </w:r>
      <w:r>
        <w:t xml:space="preserve">manages the major upgrade path; node pool upgrades are triggered</w:t>
      </w:r>
      <w:r>
        <w:t xml:space="preserve"> </w:t>
      </w:r>
      <w:r>
        <w:t xml:space="preserve">manually or automatically via maintenance windows)</w:t>
      </w:r>
      <w:r>
        <w:t xml:space="preserve"> </w:t>
      </w:r>
      <w:r>
        <w:t xml:space="preserve">- MongoDB Atlas minor version upgrades (Atlas can auto-upgrade; ensure</w:t>
      </w:r>
      <w:r>
        <w:t xml:space="preserve"> </w:t>
      </w:r>
      <w:r>
        <w:t xml:space="preserve">this is controlled and not happening silently in prod)</w:t>
      </w:r>
      <w:r>
        <w:t xml:space="preserve"> </w:t>
      </w:r>
      <w:r>
        <w:t xml:space="preserve">- Helm chart version bumps for ArgoCD, Datadog, External Secrets Operator,</w:t>
      </w:r>
      <w:r>
        <w:t xml:space="preserve"> </w:t>
      </w:r>
      <w:r>
        <w:t xml:space="preserve">and other in-cluster components managed by</w:t>
      </w:r>
      <w:r>
        <w:t xml:space="preserve"> </w:t>
      </w:r>
      <w:r>
        <w:rPr>
          <w:rStyle w:val="VerbatimChar"/>
        </w:rPr>
        <w:t xml:space="preserve">terraform-infra/env/</w:t>
      </w:r>
      <w:r>
        <w:t xml:space="preserve"> </w:t>
      </w:r>
      <w:r>
        <w:t xml:space="preserve">- Container base image updates for services that track a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-style</w:t>
      </w:r>
      <w:r>
        <w:t xml:space="preserve"> </w:t>
      </w:r>
      <w:r>
        <w:t xml:space="preserve">tag (these should be pinned per the version-pinning approach documented</w:t>
      </w:r>
      <w:r>
        <w:t xml:space="preserve"> </w:t>
      </w:r>
      <w:r>
        <w:t xml:space="preserve">in the platform architecture)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56"/>
        </w:numPr>
      </w:pPr>
      <w:r>
        <w:t xml:space="preserve">Define a maintenance classification within the change taxonomy from</w:t>
      </w:r>
      <w:r>
        <w:t xml:space="preserve"> </w:t>
      </w:r>
      <w:r>
        <w:t xml:space="preserve">F-022 / F-023 (Critical findings). Routine maintenance should be its</w:t>
      </w:r>
      <w:r>
        <w:t xml:space="preserve"> </w:t>
      </w:r>
      <w:r>
        <w:t xml:space="preserve">own sub-category with a lighter-weight review path than a functional</w:t>
      </w:r>
      <w:r>
        <w:t xml:space="preserve"> </w:t>
      </w:r>
      <w:r>
        <w:t xml:space="preserve">change, but still requiring pre/post verification steps.</w:t>
      </w:r>
    </w:p>
    <w:p>
      <w:pPr>
        <w:numPr>
          <w:ilvl w:val="0"/>
          <w:numId w:val="1056"/>
        </w:numPr>
      </w:pPr>
      <w:r>
        <w:t xml:space="preserve">For automated smoke testing after maintenance events: define a minimal</w:t>
      </w:r>
      <w:r>
        <w:t xml:space="preserve"> </w:t>
      </w:r>
      <w:r>
        <w:t xml:space="preserve">suite of post-deployment checks that verify the platform is functioning</w:t>
      </w:r>
      <w:r>
        <w:t xml:space="preserve"> </w:t>
      </w:r>
      <w:r>
        <w:t xml:space="preserve">correctly. This aligns with the ArgoCD self-heal / health check</w:t>
      </w:r>
      <w:r>
        <w:t xml:space="preserve"> </w:t>
      </w:r>
      <w:r>
        <w:t xml:space="preserve">framework already in place. At minimum:</w:t>
      </w:r>
    </w:p>
    <w:p>
      <w:pPr>
        <w:pStyle w:val="Compact"/>
        <w:numPr>
          <w:ilvl w:val="1"/>
          <w:numId w:val="1057"/>
        </w:numPr>
      </w:pPr>
      <w:r>
        <w:t xml:space="preserve">All ArgoCD applications report Healthy and Synced</w:t>
      </w:r>
    </w:p>
    <w:p>
      <w:pPr>
        <w:pStyle w:val="Compact"/>
        <w:numPr>
          <w:ilvl w:val="1"/>
          <w:numId w:val="1057"/>
        </w:numPr>
      </w:pPr>
      <w:r>
        <w:t xml:space="preserve">A defined set of Kubernetes readiness probes pass in all active</w:t>
      </w:r>
      <w:r>
        <w:t xml:space="preserve"> </w:t>
      </w:r>
      <w:r>
        <w:t xml:space="preserve">sub-environments</w:t>
      </w:r>
    </w:p>
    <w:p>
      <w:pPr>
        <w:pStyle w:val="Compact"/>
        <w:numPr>
          <w:ilvl w:val="1"/>
          <w:numId w:val="1057"/>
        </w:numPr>
      </w:pPr>
      <w:r>
        <w:t xml:space="preserve">MongoDB connectivity confirmed from at least one pod per</w:t>
      </w:r>
      <w:r>
        <w:t xml:space="preserve"> </w:t>
      </w:r>
      <w:r>
        <w:t xml:space="preserve">sub-environment</w:t>
      </w:r>
    </w:p>
    <w:p>
      <w:pPr>
        <w:pStyle w:val="Compact"/>
        <w:numPr>
          <w:ilvl w:val="1"/>
          <w:numId w:val="1057"/>
        </w:numPr>
      </w:pPr>
      <w:r>
        <w:t xml:space="preserve">NGINX routing: a synthetic request to a known endpoint per client</w:t>
      </w:r>
      <w:r>
        <w:t xml:space="preserve"> </w:t>
      </w:r>
      <w:r>
        <w:t xml:space="preserve">returns the expected response code</w:t>
      </w:r>
    </w:p>
    <w:p>
      <w:pPr>
        <w:numPr>
          <w:ilvl w:val="0"/>
          <w:numId w:val="1056"/>
        </w:numPr>
      </w:pPr>
      <w:r>
        <w:t xml:space="preserve">Document Atlas auto-upgrade settings in each environment’s Terraform</w:t>
      </w:r>
      <w:r>
        <w:t xml:space="preserve"> </w:t>
      </w:r>
      <w:r>
        <w:t xml:space="preserve">workspace. Confirm that auto-upgrade is disabled for prod Atlas clusters</w:t>
      </w:r>
      <w:r>
        <w:t xml:space="preserve"> </w:t>
      </w:r>
      <w:r>
        <w:t xml:space="preserve">(or that notifications are configured so upgrades go through the</w:t>
      </w:r>
      <w:r>
        <w:t xml:space="preserve"> </w:t>
      </w:r>
      <w:r>
        <w:t xml:space="preserve">maintenance change process before applying).</w:t>
      </w:r>
    </w:p>
    <w:p>
      <w:pPr>
        <w:numPr>
          <w:ilvl w:val="0"/>
          <w:numId w:val="1056"/>
        </w:numPr>
      </w:pPr>
      <w:r>
        <w:t xml:space="preserve">For AKS maintenance windows: configure Azure Planned Maintenance for</w:t>
      </w:r>
      <w:r>
        <w:t xml:space="preserve"> </w:t>
      </w:r>
      <w:r>
        <w:t xml:space="preserve">each prod/staging cluster to restrict node updates to defined windows</w:t>
      </w:r>
      <w:r>
        <w:t xml:space="preserve"> </w:t>
      </w:r>
      <w:r>
        <w:t xml:space="preserve">(e.g., weekend nights), and document this as part of the maintenance</w:t>
      </w:r>
      <w:r>
        <w:t xml:space="preserve"> </w:t>
      </w:r>
      <w:r>
        <w:t xml:space="preserve">process.</w:t>
      </w:r>
    </w:p>
    <w:bookmarkEnd w:id="72"/>
    <w:bookmarkStart w:id="73" w:name="X442d4012b101e8e12b5b04c3744beff347222f9"/>
    <w:p>
      <w:pPr>
        <w:pStyle w:val="Heading3"/>
      </w:pPr>
      <w:r>
        <w:t xml:space="preserve">F-009 — Periodic system review process not defined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No defined process for periodic review of validated system state,</w:t>
      </w:r>
      <w:r>
        <w:t xml:space="preserve"> </w:t>
      </w:r>
      <w:r>
        <w:t xml:space="preserve">user access, and audit trails. The finding notes the intent to automate</w:t>
      </w:r>
      <w:r>
        <w:t xml:space="preserve"> </w:t>
      </w:r>
      <w:r>
        <w:t xml:space="preserve">as much of this as possible.</w:t>
      </w:r>
    </w:p>
    <w:p>
      <w:pPr>
        <w:pStyle w:val="BodyText"/>
      </w:pPr>
      <w:r>
        <w:rPr>
          <w:b/>
          <w:bCs/>
        </w:rPr>
        <w:t xml:space="preserve">Infrastructure context:</w:t>
      </w:r>
    </w:p>
    <w:p>
      <w:pPr>
        <w:pStyle w:val="BodyText"/>
      </w:pPr>
      <w:r>
        <w:t xml:space="preserve">Several periodic review activities are already partially automated or</w:t>
      </w:r>
      <w:r>
        <w:t xml:space="preserve"> </w:t>
      </w:r>
      <w:r>
        <w:t xml:space="preserve">have existing tooling that could support them:</w:t>
      </w:r>
      <w:r>
        <w:t xml:space="preserve"> </w:t>
      </w:r>
      <w:r>
        <w:t xml:space="preserve">- ArgoCD provides continuous drift detection against the desired git state</w:t>
      </w:r>
      <w:r>
        <w:t xml:space="preserve"> </w:t>
      </w:r>
      <w:r>
        <w:t xml:space="preserve">– this is an automated audit trail for application configuration.</w:t>
      </w:r>
      <w:r>
        <w:t xml:space="preserve"> </w:t>
      </w:r>
      <w:r>
        <w:t xml:space="preserve">- Atlas audit logging captures data access events per cluster.</w:t>
      </w:r>
      <w:r>
        <w:t xml:space="preserve"> </w:t>
      </w:r>
      <w:r>
        <w:t xml:space="preserve">- Terraform state drift detection (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with no changes</w:t>
      </w:r>
      <w:r>
        <w:t xml:space="preserve"> </w:t>
      </w:r>
      <w:r>
        <w:t xml:space="preserve">expected) can serve as a configuration audit for infrastructure.</w:t>
      </w:r>
      <w:r>
        <w:t xml:space="preserve"> </w:t>
      </w:r>
      <w:r>
        <w:t xml:space="preserve">- Datadog and Azure Monitor already capture logs and metrics; the gap is</w:t>
      </w:r>
      <w:r>
        <w:t xml:space="preserve"> </w:t>
      </w:r>
      <w:r>
        <w:t xml:space="preserve">a defined review process on top of them.</w:t>
      </w:r>
      <w:r>
        <w:t xml:space="preserve"> </w:t>
      </w:r>
      <w:r>
        <w:t xml:space="preserve">- Access reviews are partially addressed by WI-IT-004 (monthly service</w:t>
      </w:r>
      <w:r>
        <w:t xml:space="preserve"> </w:t>
      </w:r>
      <w:r>
        <w:t xml:space="preserve">account reviews) – see F-016 in the High findings response.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numPr>
          <w:ilvl w:val="0"/>
          <w:numId w:val="1058"/>
        </w:numPr>
      </w:pPr>
      <w:r>
        <w:t xml:space="preserve">Define the periodic review scope and cadence: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Tool / source of truth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review (all systems)</w:t>
            </w:r>
          </w:p>
        </w:tc>
        <w:tc>
          <w:tcPr/>
          <w:p>
            <w:pPr>
              <w:pStyle w:val="Compact"/>
            </w:pPr>
            <w:r>
              <w:t xml:space="preserve">Quarterly for GxP-critical; annual otherwise</w:t>
            </w:r>
          </w:p>
        </w:tc>
        <w:tc>
          <w:tcPr/>
          <w:p>
            <w:pPr>
              <w:pStyle w:val="Compact"/>
            </w:pPr>
            <w:r>
              <w:t xml:space="preserve">RBAC matrix (see F-002 in Critical findings)</w:t>
            </w:r>
          </w:p>
        </w:tc>
        <w:tc>
          <w:tcPr/>
          <w:p>
            <w:pPr>
              <w:pStyle w:val="Compact"/>
            </w:pPr>
            <w:r>
              <w:t xml:space="preserve">Signed review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integrity (Atlas)</w:t>
            </w:r>
          </w:p>
        </w:tc>
        <w:tc>
          <w:tcPr/>
          <w:p>
            <w:pPr>
              <w:pStyle w:val="Compact"/>
            </w:pPr>
            <w:r>
              <w:t xml:space="preserve">Monthly automated check</w:t>
            </w:r>
          </w:p>
        </w:tc>
        <w:tc>
          <w:tcPr/>
          <w:p>
            <w:pPr>
              <w:pStyle w:val="Compact"/>
            </w:pPr>
            <w:r>
              <w:t xml:space="preserve">Atlas audit log export</w:t>
            </w:r>
          </w:p>
        </w:tc>
        <w:tc>
          <w:tcPr/>
          <w:p>
            <w:pPr>
              <w:pStyle w:val="Compact"/>
            </w:pPr>
            <w:r>
              <w:t xml:space="preserve">Automated report + exception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drift (infrastructure)</w:t>
            </w:r>
          </w:p>
        </w:tc>
        <w:tc>
          <w:tcPr/>
          <w:p>
            <w:pPr>
              <w:pStyle w:val="Compact"/>
            </w:pPr>
            <w:r>
              <w:t xml:space="preserve">Weekly 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(zero-diff expected); ArgoCD sync status</w:t>
            </w:r>
          </w:p>
        </w:tc>
        <w:tc>
          <w:tcPr/>
          <w:p>
            <w:pPr>
              <w:pStyle w:val="Compact"/>
            </w:pPr>
            <w:r>
              <w:t xml:space="preserve">CI job pass/fail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Validated sub-environment state</w:t>
            </w:r>
          </w:p>
        </w:tc>
        <w:tc>
          <w:tcPr/>
          <w:p>
            <w:pPr>
              <w:pStyle w:val="Compact"/>
            </w:pPr>
            <w:r>
              <w:t xml:space="preserve">Each deployment to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or above</w:t>
            </w:r>
          </w:p>
        </w:tc>
        <w:tc>
          <w:tcPr/>
          <w:p>
            <w:pPr>
              <w:pStyle w:val="Compact"/>
            </w:pPr>
            <w:r>
              <w:t xml:space="preserve">ArgoCD sync + post-deployment checklist</w:t>
            </w:r>
          </w:p>
        </w:tc>
        <w:tc>
          <w:tcPr/>
          <w:p>
            <w:pPr>
              <w:pStyle w:val="Compact"/>
            </w:pPr>
            <w:r>
              <w:t xml:space="preserve">Deployment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health check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Defined in F-018 (High findings)</w:t>
            </w:r>
          </w:p>
        </w:tc>
        <w:tc>
          <w:tcPr/>
          <w:p>
            <w:pPr>
              <w:pStyle w:val="Compact"/>
            </w:pPr>
            <w:r>
              <w:t xml:space="preserve">Health check record</w:t>
            </w:r>
          </w:p>
        </w:tc>
      </w:tr>
    </w:tbl>
    <w:p>
      <w:pPr>
        <w:numPr>
          <w:ilvl w:val="0"/>
          <w:numId w:val="1058"/>
        </w:numPr>
      </w:pPr>
      <w:r>
        <w:t xml:space="preserve">For the Atlas audit trail review: define what the automated check</w:t>
      </w:r>
      <w:r>
        <w:t xml:space="preserve"> </w:t>
      </w:r>
      <w:r>
        <w:t xml:space="preserve">is looking for (e.g., unexpected admin operations, connections from</w:t>
      </w:r>
      <w:r>
        <w:t xml:space="preserve"> </w:t>
      </w:r>
      <w:r>
        <w:t xml:space="preserve">IPs outside the Private Link range, schema drops). Define the</w:t>
      </w:r>
      <w:r>
        <w:t xml:space="preserve"> </w:t>
      </w:r>
      <w:r>
        <w:t xml:space="preserve">exception-handling path when unexpected events are detected.</w:t>
      </w:r>
    </w:p>
    <w:p>
      <w:pPr>
        <w:numPr>
          <w:ilvl w:val="0"/>
          <w:numId w:val="1058"/>
        </w:numPr>
      </w:pPr>
      <w:r>
        <w:t xml:space="preserve">Define the escalation path when drift is detected (e.g., ArgoCD</w:t>
      </w:r>
      <w:r>
        <w:t xml:space="preserve"> </w:t>
      </w:r>
      <w:r>
        <w:t xml:space="preserve">reports an application is OutOfSync outside a planned change window):</w:t>
      </w:r>
      <w:r>
        <w:t xml:space="preserve"> </w:t>
      </w:r>
      <w:r>
        <w:t xml:space="preserve">who investigates, what the maximum investigation time is before</w:t>
      </w:r>
      <w:r>
        <w:t xml:space="preserve"> </w:t>
      </w:r>
      <w:r>
        <w:t xml:space="preserve">escalating, and whether an unexpected drift event triggers a CAPA.</w:t>
      </w:r>
    </w:p>
    <w:bookmarkEnd w:id="73"/>
    <w:bookmarkStart w:id="74" w:name="Xda8b1681047644380c914f934c6fbca348b0740"/>
    <w:p>
      <w:pPr>
        <w:pStyle w:val="Heading3"/>
      </w:pPr>
      <w:r>
        <w:t xml:space="preserve">F-027 — No post-deployment monitoring requirement in SOP-IT-002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SOP-IT-002 does not require post-deployment monitoring or</w:t>
      </w:r>
      <w:r>
        <w:t xml:space="preserve"> </w:t>
      </w:r>
      <w:r>
        <w:t xml:space="preserve">verification before a change is considered closed.</w:t>
      </w:r>
    </w:p>
    <w:p>
      <w:pPr>
        <w:pStyle w:val="BodyText"/>
      </w:pPr>
      <w:r>
        <w:rPr>
          <w:b/>
          <w:bCs/>
        </w:rPr>
        <w:t xml:space="preserve">Infrastructure context:</w:t>
      </w:r>
    </w:p>
    <w:p>
      <w:pPr>
        <w:pStyle w:val="BodyText"/>
      </w:pPr>
      <w:r>
        <w:t xml:space="preserve">The GitOps pipeline already provides a natural post-deployment monitoring</w:t>
      </w:r>
      <w:r>
        <w:t xml:space="preserve"> </w:t>
      </w:r>
      <w:r>
        <w:t xml:space="preserve">window: after an ArgoCD sync, the application health status is</w:t>
      </w:r>
      <w:r>
        <w:t xml:space="preserve"> </w:t>
      </w:r>
      <w:r>
        <w:t xml:space="preserve">continuously reported. PagerDuty on-call alerting means that a</w:t>
      </w:r>
      <w:r>
        <w:t xml:space="preserve"> </w:t>
      </w:r>
      <w:r>
        <w:t xml:space="preserve">post-deployment failure will surface quickly if it triggers a defined</w:t>
      </w:r>
      <w:r>
        <w:t xml:space="preserve"> </w:t>
      </w:r>
      <w:r>
        <w:t xml:space="preserve">alert condition. The gap is that this is not formally documented as a</w:t>
      </w:r>
      <w:r>
        <w:t xml:space="preserve"> </w:t>
      </w:r>
      <w:r>
        <w:t xml:space="preserve">required step before change closure.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59"/>
        </w:numPr>
      </w:pPr>
      <w:r>
        <w:t xml:space="preserve">Add a post-deployment monitoring step to SOP-IT-002. For GxP-critical</w:t>
      </w:r>
      <w:r>
        <w:t xml:space="preserve"> </w:t>
      </w:r>
      <w:r>
        <w:t xml:space="preserve">changes, define a minimum monitoring window (e.g., 24 hours for prod</w:t>
      </w:r>
      <w:r>
        <w:t xml:space="preserve"> </w:t>
      </w:r>
      <w:r>
        <w:t xml:space="preserve">deployments, 4 hours for staging) during which the change owner is</w:t>
      </w:r>
      <w:r>
        <w:t xml:space="preserve"> </w:t>
      </w:r>
      <w:r>
        <w:t xml:space="preserve">responsible for monitoring for anomalies.</w:t>
      </w:r>
    </w:p>
    <w:p>
      <w:pPr>
        <w:pStyle w:val="Compact"/>
        <w:numPr>
          <w:ilvl w:val="0"/>
          <w:numId w:val="1059"/>
        </w:numPr>
      </w:pPr>
      <w:r>
        <w:t xml:space="preserve">Define the success criteria for change closure:</w:t>
      </w:r>
    </w:p>
    <w:p>
      <w:pPr>
        <w:pStyle w:val="Compact"/>
        <w:numPr>
          <w:ilvl w:val="1"/>
          <w:numId w:val="1060"/>
        </w:numPr>
      </w:pPr>
      <w:r>
        <w:t xml:space="preserve">ArgoCD reports all affected applications Healthy and Synced</w:t>
      </w:r>
    </w:p>
    <w:p>
      <w:pPr>
        <w:pStyle w:val="Compact"/>
        <w:numPr>
          <w:ilvl w:val="1"/>
          <w:numId w:val="1060"/>
        </w:numPr>
      </w:pPr>
      <w:r>
        <w:t xml:space="preserve">No new PagerDuty alerts attributable to the change during the</w:t>
      </w:r>
      <w:r>
        <w:t xml:space="preserve"> </w:t>
      </w:r>
      <w:r>
        <w:t xml:space="preserve">monitoring window</w:t>
      </w:r>
    </w:p>
    <w:p>
      <w:pPr>
        <w:pStyle w:val="Compact"/>
        <w:numPr>
          <w:ilvl w:val="1"/>
          <w:numId w:val="1060"/>
        </w:numPr>
      </w:pPr>
      <w:r>
        <w:t xml:space="preserve">MongoDB Atlas metrics (connection counts, query latency, replication</w:t>
      </w:r>
      <w:r>
        <w:t xml:space="preserve"> </w:t>
      </w:r>
      <w:r>
        <w:t xml:space="preserve">lag) are within normal baselines in the affected sub-environments</w:t>
      </w:r>
    </w:p>
    <w:p>
      <w:pPr>
        <w:pStyle w:val="Compact"/>
        <w:numPr>
          <w:ilvl w:val="1"/>
          <w:numId w:val="1060"/>
        </w:numPr>
      </w:pPr>
      <w:r>
        <w:t xml:space="preserve">No unexpected patterns in Datadog APM traces for affected services</w:t>
      </w:r>
    </w:p>
    <w:p>
      <w:pPr>
        <w:pStyle w:val="Compact"/>
        <w:numPr>
          <w:ilvl w:val="0"/>
          <w:numId w:val="1059"/>
        </w:numPr>
      </w:pPr>
      <w:r>
        <w:t xml:space="preserve">Define what constitutes a monitoring failure and triggers a rollback</w:t>
      </w:r>
      <w:r>
        <w:t xml:space="preserve"> </w:t>
      </w:r>
      <w:r>
        <w:t xml:space="preserve">(per the rollback procedure from F-024 in the Critical findings</w:t>
      </w:r>
      <w:r>
        <w:t xml:space="preserve"> </w:t>
      </w:r>
      <w:r>
        <w:t xml:space="preserve">response).</w:t>
      </w:r>
    </w:p>
    <w:p>
      <w:pPr>
        <w:pStyle w:val="Compact"/>
        <w:numPr>
          <w:ilvl w:val="0"/>
          <w:numId w:val="1059"/>
        </w:numPr>
      </w:pPr>
      <w:r>
        <w:t xml:space="preserve">The monitoring window and results should be recorded in the change</w:t>
      </w:r>
      <w:r>
        <w:t xml:space="preserve"> </w:t>
      </w:r>
      <w:r>
        <w:t xml:space="preserve">ticket as evidence of post-deployment verification.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theme-3-identity-and-access-management"/>
    <w:p>
      <w:pPr>
        <w:pStyle w:val="Heading2"/>
      </w:pPr>
      <w:r>
        <w:t xml:space="preserve">Theme 3: Identity and Access Management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F-017, F-019</w:t>
      </w:r>
    </w:p>
    <w:bookmarkStart w:id="76" w:name="X93d749477cf00a4277f8bf554dcad5db153fef1"/>
    <w:p>
      <w:pPr>
        <w:pStyle w:val="Heading3"/>
      </w:pPr>
      <w:r>
        <w:t xml:space="preserve">F-017 — No out-of-band account recovery path for locked-out users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SOP-IT-001 says locked-out users contact IT but does not define</w:t>
      </w:r>
      <w:r>
        <w:t xml:space="preserve"> </w:t>
      </w:r>
      <w:r>
        <w:t xml:space="preserve">how they do so when they cannot access corporate systems or email (e.g.,</w:t>
      </w:r>
      <w:r>
        <w:t xml:space="preserve"> </w:t>
      </w:r>
      <w:r>
        <w:t xml:space="preserve">a new joiner whose accounts are not yet provisioned, or a user locked</w:t>
      </w:r>
      <w:r>
        <w:t xml:space="preserve"> </w:t>
      </w:r>
      <w:r>
        <w:t xml:space="preserve">out of Entra entirely).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61"/>
        </w:numPr>
      </w:pPr>
      <w:r>
        <w:t xml:space="preserve">Define an out-of-band contact mechanism. The finding notes that new</w:t>
      </w:r>
      <w:r>
        <w:t xml:space="preserve"> </w:t>
      </w:r>
      <w:r>
        <w:t xml:space="preserve">team members use personal email until systems are set up – formalise</w:t>
      </w:r>
      <w:r>
        <w:t xml:space="preserve"> </w:t>
      </w:r>
      <w:r>
        <w:t xml:space="preserve">this. Options:</w:t>
      </w:r>
    </w:p>
    <w:p>
      <w:pPr>
        <w:pStyle w:val="Compact"/>
        <w:numPr>
          <w:ilvl w:val="1"/>
          <w:numId w:val="1062"/>
        </w:numPr>
      </w:pPr>
      <w:r>
        <w:t xml:space="preserve">A dedicated security or IT support alias hosted outside corporate</w:t>
      </w:r>
      <w:r>
        <w:t xml:space="preserve"> </w:t>
      </w:r>
      <w:r>
        <w:t xml:space="preserve">Entra (e.g., a personal Microsoft account or a secondary email</w:t>
      </w:r>
      <w:r>
        <w:t xml:space="preserve"> </w:t>
      </w:r>
      <w:r>
        <w:t xml:space="preserve">provider) that does not require Entra authentication to reach.</w:t>
      </w:r>
    </w:p>
    <w:p>
      <w:pPr>
        <w:pStyle w:val="Compact"/>
        <w:numPr>
          <w:ilvl w:val="1"/>
          <w:numId w:val="1062"/>
        </w:numPr>
      </w:pPr>
      <w:r>
        <w:t xml:space="preserve">A direct phone number or Teams personal account for the on-call</w:t>
      </w:r>
      <w:r>
        <w:t xml:space="preserve"> </w:t>
      </w:r>
      <w:r>
        <w:t xml:space="preserve">DevOps contact.</w:t>
      </w:r>
    </w:p>
    <w:p>
      <w:pPr>
        <w:pStyle w:val="Compact"/>
        <w:numPr>
          <w:ilvl w:val="0"/>
          <w:numId w:val="1061"/>
        </w:numPr>
      </w:pPr>
      <w:r>
        <w:t xml:space="preserve">Document the identity verification steps required before an account</w:t>
      </w:r>
      <w:r>
        <w:t xml:space="preserve"> </w:t>
      </w:r>
      <w:r>
        <w:t xml:space="preserve">is unlocked or reset. For Entra-managed accounts, the minimum should</w:t>
      </w:r>
      <w:r>
        <w:t xml:space="preserve"> </w:t>
      </w:r>
      <w:r>
        <w:t xml:space="preserve">be: video call verification (face + government-issued ID for high-trust</w:t>
      </w:r>
      <w:r>
        <w:t xml:space="preserve"> </w:t>
      </w:r>
      <w:r>
        <w:t xml:space="preserve">accounts), or manager attestation in writing.</w:t>
      </w:r>
    </w:p>
    <w:p>
      <w:pPr>
        <w:pStyle w:val="Compact"/>
        <w:numPr>
          <w:ilvl w:val="0"/>
          <w:numId w:val="1061"/>
        </w:numPr>
      </w:pPr>
      <w:r>
        <w:t xml:space="preserve">Document who is authorised to perform account unlocks and resets, and</w:t>
      </w:r>
      <w:r>
        <w:t xml:space="preserve"> </w:t>
      </w:r>
      <w:r>
        <w:t xml:space="preserve">require that every unlock event is logged with: requester identity,</w:t>
      </w:r>
      <w:r>
        <w:t xml:space="preserve"> </w:t>
      </w:r>
      <w:r>
        <w:t xml:space="preserve">verification method used, who performed the action, and timestamp.</w:t>
      </w:r>
      <w:r>
        <w:t xml:space="preserve"> </w:t>
      </w:r>
      <w:r>
        <w:t xml:space="preserve">This log is a security audit record and should be retained per quality</w:t>
      </w:r>
      <w:r>
        <w:t xml:space="preserve"> </w:t>
      </w:r>
      <w:r>
        <w:t xml:space="preserve">management requirements.</w:t>
      </w:r>
    </w:p>
    <w:p>
      <w:pPr>
        <w:pStyle w:val="Compact"/>
        <w:numPr>
          <w:ilvl w:val="0"/>
          <w:numId w:val="1061"/>
        </w:numPr>
      </w:pPr>
      <w:r>
        <w:t xml:space="preserve">Publish the out-of-band contact information in the employee onboarding</w:t>
      </w:r>
      <w:r>
        <w:t xml:space="preserve"> </w:t>
      </w:r>
      <w:r>
        <w:t xml:space="preserve">pack and in SOP-IT-001.</w:t>
      </w:r>
    </w:p>
    <w:bookmarkEnd w:id="76"/>
    <w:bookmarkStart w:id="77" w:name="X9da9a2518f927f05a096e6a71eb80e0429ffcdf"/>
    <w:p>
      <w:pPr>
        <w:pStyle w:val="Heading3"/>
      </w:pPr>
      <w:r>
        <w:t xml:space="preserve">F-019 — User-managed endpoint security; no centrally enforced controls (P3)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SOP-IT-001 places responsibility for endpoint security on</w:t>
      </w:r>
      <w:r>
        <w:t xml:space="preserve"> </w:t>
      </w:r>
      <w:r>
        <w:t xml:space="preserve">individual remote users. This is flagged as a client objection risk.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finding is directly related to F-015 (Critical, P1) which</w:t>
      </w:r>
      <w:r>
        <w:t xml:space="preserve"> </w:t>
      </w:r>
      <w:r>
        <w:t xml:space="preserve">addresses contractor device management via Entra Conditional Access.</w:t>
      </w:r>
      <w:r>
        <w:t xml:space="preserve"> </w:t>
      </w:r>
      <w:r>
        <w:t xml:space="preserve">F-019 extends the same concern to all remote users (employees and</w:t>
      </w:r>
      <w:r>
        <w:t xml:space="preserve"> </w:t>
      </w:r>
      <w:r>
        <w:t xml:space="preserve">contractors). The Conditional Access policy recommended for F-015 is the</w:t>
      </w:r>
      <w:r>
        <w:t xml:space="preserve"> </w:t>
      </w:r>
      <w:r>
        <w:t xml:space="preserve">same mechanism that addresses F-019 – the two remediations should be</w:t>
      </w:r>
      <w:r>
        <w:t xml:space="preserve"> </w:t>
      </w:r>
      <w:r>
        <w:t xml:space="preserve">implemented together.</w:t>
      </w:r>
    </w:p>
    <w:p>
      <w:pPr>
        <w:pStyle w:val="BodyText"/>
      </w:pPr>
      <w:r>
        <w:rPr>
          <w:b/>
          <w:bCs/>
        </w:rPr>
        <w:t xml:space="preserve">Recommended steps:</w:t>
      </w:r>
    </w:p>
    <w:p>
      <w:pPr>
        <w:pStyle w:val="Compact"/>
        <w:numPr>
          <w:ilvl w:val="0"/>
          <w:numId w:val="1063"/>
        </w:numPr>
      </w:pPr>
      <w:r>
        <w:t xml:space="preserve">Once the Conditional Access / MDM enforcement policy is in place for</w:t>
      </w:r>
      <w:r>
        <w:t xml:space="preserve"> </w:t>
      </w:r>
      <w:r>
        <w:t xml:space="preserve">F-015, update SOP-IT-001 to reflect the centrally enforced control:</w:t>
      </w:r>
      <w:r>
        <w:t xml:space="preserve"> </w:t>
      </w:r>
      <w:r>
        <w:t xml:space="preserve">“Endpoint security controls are enforced via Azure Entra Conditional</w:t>
      </w:r>
      <w:r>
        <w:t xml:space="preserve"> </w:t>
      </w:r>
      <w:r>
        <w:t xml:space="preserve">Access. All users must access corporate systems from MDM-enrolled and</w:t>
      </w:r>
      <w:r>
        <w:t xml:space="preserve"> </w:t>
      </w:r>
      <w:r>
        <w:t xml:space="preserve">compliant devices. Compliance is verified at authentication time, not</w:t>
      </w:r>
      <w:r>
        <w:t xml:space="preserve"> </w:t>
      </w:r>
      <w:r>
        <w:t xml:space="preserve">by user self-attestation.”</w:t>
      </w:r>
    </w:p>
    <w:p>
      <w:pPr>
        <w:pStyle w:val="Compact"/>
        <w:numPr>
          <w:ilvl w:val="0"/>
          <w:numId w:val="1063"/>
        </w:numPr>
      </w:pPr>
      <w:r>
        <w:t xml:space="preserve">Define the minimum endpoint security baseline enforced by Intune MDM</w:t>
      </w:r>
      <w:r>
        <w:t xml:space="preserve"> </w:t>
      </w:r>
      <w:r>
        <w:t xml:space="preserve">policy: disk encryption required (FileVault on macOS, BitLocker on</w:t>
      </w:r>
      <w:r>
        <w:t xml:space="preserve"> </w:t>
      </w:r>
      <w:r>
        <w:t xml:space="preserve">Windows), OS patch level within N days of release, screen lock on</w:t>
      </w:r>
      <w:r>
        <w:t xml:space="preserve"> </w:t>
      </w:r>
      <w:r>
        <w:t xml:space="preserve">idle, approved EDR agent installed (if applicable).</w:t>
      </w:r>
    </w:p>
    <w:p>
      <w:pPr>
        <w:pStyle w:val="Compact"/>
        <w:numPr>
          <w:ilvl w:val="0"/>
          <w:numId w:val="1063"/>
        </w:numPr>
      </w:pPr>
      <w:r>
        <w:t xml:space="preserve">Define the exception path for users who cannot meet the MDM compliance</w:t>
      </w:r>
      <w:r>
        <w:t xml:space="preserve"> </w:t>
      </w:r>
      <w:r>
        <w:t xml:space="preserve">requirement (e.g., a temporary device during hardware replacement).</w:t>
      </w:r>
      <w:r>
        <w:t xml:space="preserve"> </w:t>
      </w:r>
      <w:r>
        <w:t xml:space="preserve">Exception must be approved by DevOps Lead, time-limited, documented,</w:t>
      </w:r>
      <w:r>
        <w:t xml:space="preserve"> </w:t>
      </w:r>
      <w:r>
        <w:t xml:space="preserve">and access scoped to the minimum required during the exception window.</w:t>
      </w:r>
    </w:p>
    <w:p>
      <w:pPr>
        <w:pStyle w:val="Compact"/>
        <w:numPr>
          <w:ilvl w:val="0"/>
          <w:numId w:val="1063"/>
        </w:numPr>
      </w:pPr>
      <w:r>
        <w:t xml:space="preserve">Update client-facing documentation to reference the Conditional Access</w:t>
      </w:r>
      <w:r>
        <w:t xml:space="preserve"> </w:t>
      </w:r>
      <w:r>
        <w:t xml:space="preserve">enforcement, replacing the current self-managed language that raises</w:t>
      </w:r>
      <w:r>
        <w:t xml:space="preserve"> </w:t>
      </w:r>
      <w:r>
        <w:t xml:space="preserve">audit objections.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mmary-suggested-remediation-priority-2"/>
    <w:p>
      <w:pPr>
        <w:pStyle w:val="Heading2"/>
      </w:pPr>
      <w:r>
        <w:t xml:space="preserve">Summary: Suggested Remediation Priority</w:t>
      </w:r>
    </w:p>
    <w:p>
      <w:pPr>
        <w:pStyle w:val="FirstParagraph"/>
      </w:pPr>
      <w:r>
        <w:t xml:space="preserve">All findings are P3 (60-120 days). Sequencing by dependency and effort: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Finding(s)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Revise WI-IT-002 in a single pass to add invocation criteria, RACI reference, communication reference, evidence storage, resume checklist, and post-mortem requirement</w:t>
            </w:r>
          </w:p>
        </w:tc>
        <w:tc>
          <w:tcPr/>
          <w:p>
            <w:pPr>
              <w:pStyle w:val="Compact"/>
            </w:pPr>
            <w:r>
              <w:t xml:space="preserve">F-036, F-046, F-048, F-049, F-051, F-052, F-053, F-054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 SOP-IT-001 backup section: document Atlas backup model, define restore test automation, replace</w:t>
            </w:r>
            <w:r>
              <w:t xml:space="preserve"> </w:t>
            </w:r>
            <w:r>
              <w:t xml:space="preserve">“Software Architect”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 DR record retention requirements and storage location in SOP-IT-003</w:t>
            </w:r>
          </w:p>
        </w:tc>
        <w:tc>
          <w:tcPr/>
          <w:p>
            <w:pPr>
              <w:pStyle w:val="Compact"/>
            </w:pPr>
            <w:r>
              <w:t xml:space="preserve">F-034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Define out-of-band account recovery path and identity verification procedure</w:t>
            </w:r>
          </w:p>
        </w:tc>
        <w:tc>
          <w:tcPr/>
          <w:p>
            <w:pPr>
              <w:pStyle w:val="Compact"/>
            </w:pPr>
            <w:r>
              <w:t xml:space="preserve">F-017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 SOP-IT-001 endpoint security language once Conditional Access (F-015) is in place</w:t>
            </w:r>
          </w:p>
        </w:tc>
        <w:tc>
          <w:tcPr/>
          <w:p>
            <w:pPr>
              <w:pStyle w:val="Compact"/>
            </w:pPr>
            <w:r>
              <w:t xml:space="preserve">F-019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post-deployment monitoring window and closure criteria to SOP-IT-002</w:t>
            </w:r>
          </w:p>
        </w:tc>
        <w:tc>
          <w:tcPr/>
          <w:p>
            <w:pPr>
              <w:pStyle w:val="Compact"/>
            </w:pPr>
            <w:r>
              <w:t xml:space="preserve">F-027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Define infrastructure maintenance classification and post-maintenance smoke test suite</w:t>
            </w:r>
          </w:p>
        </w:tc>
        <w:tc>
          <w:tcPr/>
          <w:p>
            <w:pPr>
              <w:pStyle w:val="Compact"/>
            </w:pPr>
            <w:r>
              <w:t xml:space="preserve">F-008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Define periodic system review process with cadence, tooling, and evidence requirements</w:t>
            </w:r>
          </w:p>
        </w:tc>
        <w:tc>
          <w:tcPr/>
          <w:p>
            <w:pPr>
              <w:pStyle w:val="Compact"/>
            </w:pPr>
            <w:r>
              <w:t xml:space="preserve">F-009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sequencing:</w:t>
      </w:r>
      <w:r>
        <w:t xml:space="preserve"> </w:t>
      </w:r>
      <w:r>
        <w:t xml:space="preserve">Items 1-3 are a natural continuation of the</w:t>
      </w:r>
      <w:r>
        <w:t xml:space="preserve"> </w:t>
      </w:r>
      <w:r>
        <w:t xml:space="preserve">BCP/DR package from the High findings (F-028, F-029, F-030, F-033,</w:t>
      </w:r>
      <w:r>
        <w:t xml:space="preserve"> </w:t>
      </w:r>
      <w:r>
        <w:t xml:space="preserve">F-035). They should be executed in the same workstream rather than as a</w:t>
      </w:r>
      <w:r>
        <w:t xml:space="preserve"> </w:t>
      </w:r>
      <w:r>
        <w:t xml:space="preserve">separate effort. Items 4-5 extend the IAM hardening work from the</w:t>
      </w:r>
      <w:r>
        <w:t xml:space="preserve"> </w:t>
      </w:r>
      <w:r>
        <w:t xml:space="preserve">Critical findings (F-014, F-015). Items 6-8 extend the change management</w:t>
      </w:r>
      <w:r>
        <w:t xml:space="preserve"> </w:t>
      </w:r>
      <w:r>
        <w:t xml:space="preserve">work from the Critical findings (F-022, F-023, F-024).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Findings Response</dc:title>
  <dc:creator/>
  <cp:keywords/>
  <dcterms:created xsi:type="dcterms:W3CDTF">2026-03-27T03:40:03Z</dcterms:created>
  <dcterms:modified xsi:type="dcterms:W3CDTF">2026-03-27T03:40:03Z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