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18" w:rsidRPr="00603118" w:rsidRDefault="00603118" w:rsidP="00603118">
      <w:pPr>
        <w:jc w:val="center"/>
        <w:rPr>
          <w:sz w:val="52"/>
          <w:szCs w:val="52"/>
        </w:rPr>
      </w:pPr>
      <w:r>
        <w:rPr>
          <w:sz w:val="52"/>
          <w:szCs w:val="52"/>
        </w:rPr>
        <w:t>ENSC 254 LAB</w:t>
      </w:r>
      <w:r w:rsidR="006F1E60">
        <w:rPr>
          <w:sz w:val="52"/>
          <w:szCs w:val="52"/>
        </w:rPr>
        <w:t xml:space="preserve"> </w:t>
      </w:r>
      <w:r>
        <w:rPr>
          <w:sz w:val="52"/>
          <w:szCs w:val="52"/>
        </w:rPr>
        <w:t>4 Report</w:t>
      </w:r>
    </w:p>
    <w:p w:rsidR="00603118" w:rsidRPr="00603118" w:rsidRDefault="00603118" w:rsidP="00603118">
      <w:pPr>
        <w:rPr>
          <w:sz w:val="52"/>
          <w:szCs w:val="52"/>
        </w:rPr>
      </w:pPr>
    </w:p>
    <w:p w:rsidR="00603118" w:rsidRPr="00603118" w:rsidRDefault="006F1E60" w:rsidP="00603118">
      <w:pPr>
        <w:jc w:val="center"/>
        <w:rPr>
          <w:sz w:val="52"/>
          <w:szCs w:val="52"/>
        </w:rPr>
      </w:pPr>
      <w:r>
        <w:rPr>
          <w:sz w:val="52"/>
          <w:szCs w:val="52"/>
        </w:rPr>
        <w:t>Effects of Duty Cycle</w:t>
      </w:r>
      <w:r w:rsidR="00603118" w:rsidRPr="00603118">
        <w:rPr>
          <w:sz w:val="52"/>
          <w:szCs w:val="52"/>
        </w:rPr>
        <w:t xml:space="preserve"> &amp; Frequency on a LED</w:t>
      </w:r>
    </w:p>
    <w:p w:rsidR="00603118" w:rsidRPr="00603118" w:rsidRDefault="00603118" w:rsidP="00603118">
      <w:pPr>
        <w:rPr>
          <w:sz w:val="52"/>
          <w:szCs w:val="52"/>
        </w:rPr>
      </w:pPr>
    </w:p>
    <w:p w:rsidR="00603118" w:rsidRPr="00603118" w:rsidRDefault="00603118" w:rsidP="00603118">
      <w:pPr>
        <w:jc w:val="center"/>
        <w:rPr>
          <w:sz w:val="52"/>
          <w:szCs w:val="52"/>
        </w:rPr>
      </w:pPr>
      <w:r w:rsidRPr="00603118">
        <w:rPr>
          <w:sz w:val="52"/>
          <w:szCs w:val="52"/>
        </w:rPr>
        <w:t xml:space="preserve">Authors: Johnston Yang &amp; Luke </w:t>
      </w:r>
      <w:proofErr w:type="spellStart"/>
      <w:r w:rsidRPr="00603118">
        <w:rPr>
          <w:sz w:val="52"/>
          <w:szCs w:val="52"/>
        </w:rPr>
        <w:t>Gair</w:t>
      </w:r>
      <w:proofErr w:type="spellEnd"/>
    </w:p>
    <w:p w:rsidR="00603118" w:rsidRPr="00603118" w:rsidRDefault="00603118" w:rsidP="00603118">
      <w:pPr>
        <w:jc w:val="center"/>
        <w:rPr>
          <w:sz w:val="52"/>
          <w:szCs w:val="52"/>
        </w:rPr>
      </w:pPr>
      <w:r w:rsidRPr="00603118">
        <w:rPr>
          <w:sz w:val="52"/>
          <w:szCs w:val="52"/>
        </w:rPr>
        <w:t>Date: June 18th 2018</w:t>
      </w:r>
    </w:p>
    <w:p w:rsidR="00603118" w:rsidRPr="00603118" w:rsidRDefault="00603118" w:rsidP="00603118">
      <w:pPr>
        <w:jc w:val="center"/>
        <w:rPr>
          <w:sz w:val="52"/>
          <w:szCs w:val="52"/>
        </w:rPr>
      </w:pPr>
    </w:p>
    <w:p w:rsidR="00603118" w:rsidRPr="00603118" w:rsidRDefault="00603118" w:rsidP="00603118">
      <w:pPr>
        <w:jc w:val="center"/>
        <w:rPr>
          <w:sz w:val="52"/>
          <w:szCs w:val="52"/>
        </w:rPr>
      </w:pPr>
      <w:r w:rsidRPr="00603118">
        <w:rPr>
          <w:sz w:val="52"/>
          <w:szCs w:val="52"/>
        </w:rPr>
        <w:t>Data Collected on June 14th &amp; 15th</w:t>
      </w:r>
    </w:p>
    <w:p w:rsidR="00603118" w:rsidRPr="00603118" w:rsidRDefault="00603118">
      <w:pPr>
        <w:rPr>
          <w:sz w:val="52"/>
          <w:szCs w:val="52"/>
        </w:rPr>
      </w:pPr>
      <w:r w:rsidRPr="00603118">
        <w:rPr>
          <w:sz w:val="52"/>
          <w:szCs w:val="52"/>
        </w:rPr>
        <w:br w:type="page"/>
      </w:r>
    </w:p>
    <w:p w:rsidR="00603118" w:rsidRDefault="00603118" w:rsidP="00603118"/>
    <w:p w:rsidR="00603118" w:rsidRPr="00603118" w:rsidRDefault="00603118" w:rsidP="00603118">
      <w:pPr>
        <w:rPr>
          <w:b/>
          <w:sz w:val="32"/>
          <w:szCs w:val="32"/>
        </w:rPr>
      </w:pPr>
      <w:r w:rsidRPr="00603118">
        <w:rPr>
          <w:b/>
          <w:sz w:val="32"/>
          <w:szCs w:val="32"/>
        </w:rPr>
        <w:t>Abstract:</w:t>
      </w:r>
    </w:p>
    <w:p w:rsidR="00603118" w:rsidRDefault="00603118" w:rsidP="00603118">
      <w:r>
        <w:t>The Purpose of this lab was to explore and familiarize ourselves with the Xilinx FPGA and SDK</w:t>
      </w:r>
      <w:r w:rsidR="006F1E60">
        <w:t xml:space="preserve"> </w:t>
      </w:r>
      <w:r>
        <w:t xml:space="preserve">(Field-Programmable Gate Array &amp; its Software Development Kit) through programming in ARM and observing the relative effects that our program had on the board. There were several tasks that we </w:t>
      </w:r>
      <w:r w:rsidR="006F1E60">
        <w:t xml:space="preserve">completed throughout the lab. We created a program </w:t>
      </w:r>
      <w:r>
        <w:t>so t</w:t>
      </w:r>
      <w:r w:rsidR="006F1E60">
        <w:t>hat the LED</w:t>
      </w:r>
      <w:r>
        <w:t xml:space="preserve"> flashes at a 5</w:t>
      </w:r>
      <w:r w:rsidR="006F1E60">
        <w:t xml:space="preserve">0% Duty Cycle with a period of two </w:t>
      </w:r>
      <w:r>
        <w:t>s</w:t>
      </w:r>
      <w:r w:rsidR="006F1E60">
        <w:t>econds</w:t>
      </w:r>
      <w:r>
        <w:t xml:space="preserve"> (0.5 Hz). We also experimented with other duty cycles e.g. 5% at 0.1 Hz &amp; 80% at 0.2 Hz.</w:t>
      </w:r>
    </w:p>
    <w:p w:rsidR="00603118" w:rsidRDefault="006F1E60" w:rsidP="00603118">
      <w:r>
        <w:t>At the end of this l</w:t>
      </w:r>
      <w:r w:rsidR="00603118">
        <w:t>ab we should be able to understand the effects that duty cycle has on what frequency is needed to display a continuous light on the L</w:t>
      </w:r>
      <w:r>
        <w:t>ED, &amp; how it effects the LED's b</w:t>
      </w:r>
      <w:r w:rsidR="00603118">
        <w:t>rightness at higher frequencies.</w:t>
      </w:r>
    </w:p>
    <w:p w:rsidR="00603118" w:rsidRDefault="00603118" w:rsidP="00603118"/>
    <w:p w:rsidR="00603118" w:rsidRPr="006F1E60" w:rsidRDefault="00603118" w:rsidP="00603118">
      <w:pPr>
        <w:rPr>
          <w:b/>
          <w:sz w:val="32"/>
          <w:szCs w:val="32"/>
        </w:rPr>
      </w:pPr>
      <w:r w:rsidRPr="00603118">
        <w:rPr>
          <w:b/>
          <w:sz w:val="32"/>
          <w:szCs w:val="32"/>
        </w:rPr>
        <w:t>Materials:</w:t>
      </w:r>
    </w:p>
    <w:p w:rsidR="00603118" w:rsidRDefault="00603118" w:rsidP="00603118">
      <w:r>
        <w:t>XILINX SDK</w:t>
      </w:r>
    </w:p>
    <w:p w:rsidR="00603118" w:rsidRDefault="00603118" w:rsidP="00603118">
      <w:r>
        <w:t>XILINX FPGA (</w:t>
      </w:r>
      <w:proofErr w:type="spellStart"/>
      <w:r>
        <w:t>ZedBoard</w:t>
      </w:r>
      <w:proofErr w:type="spellEnd"/>
      <w:r>
        <w:t>)</w:t>
      </w:r>
    </w:p>
    <w:p w:rsidR="00603118" w:rsidRDefault="00603118" w:rsidP="00603118">
      <w:r>
        <w:t>ARM 7.0</w:t>
      </w:r>
    </w:p>
    <w:p w:rsidR="00603118" w:rsidRDefault="00603118" w:rsidP="00603118">
      <w:r>
        <w:br w:type="page"/>
      </w:r>
    </w:p>
    <w:p w:rsidR="00603118" w:rsidRPr="006F1E60" w:rsidRDefault="00603118" w:rsidP="00603118">
      <w:pPr>
        <w:rPr>
          <w:b/>
          <w:sz w:val="32"/>
          <w:szCs w:val="32"/>
        </w:rPr>
      </w:pPr>
      <w:r w:rsidRPr="00603118">
        <w:rPr>
          <w:b/>
          <w:sz w:val="32"/>
          <w:szCs w:val="32"/>
        </w:rPr>
        <w:lastRenderedPageBreak/>
        <w:t>Code Used for the Experiment:</w:t>
      </w:r>
    </w:p>
    <w:p w:rsidR="00603118" w:rsidRDefault="00603118" w:rsidP="006F1E60">
      <w:pPr>
        <w:spacing w:line="240" w:lineRule="auto"/>
      </w:pPr>
      <w:proofErr w:type="gramStart"/>
      <w:r>
        <w:t>.global</w:t>
      </w:r>
      <w:proofErr w:type="gramEnd"/>
      <w:r>
        <w:t xml:space="preserve"> </w:t>
      </w:r>
      <w:proofErr w:type="spellStart"/>
      <w:r>
        <w:t>asm_main</w:t>
      </w:r>
      <w:proofErr w:type="spellEnd"/>
    </w:p>
    <w:p w:rsidR="00603118" w:rsidRDefault="00603118" w:rsidP="006F1E60">
      <w:pPr>
        <w:spacing w:line="240" w:lineRule="auto"/>
      </w:pPr>
      <w:proofErr w:type="gramStart"/>
      <w:r>
        <w:t>;@</w:t>
      </w:r>
      <w:proofErr w:type="gramEnd"/>
      <w:r>
        <w:t xml:space="preserve"> Duty cycle is ratio of time on to time off ON/OFF</w:t>
      </w:r>
    </w:p>
    <w:p w:rsidR="00603118" w:rsidRDefault="00603118" w:rsidP="006F1E60">
      <w:pPr>
        <w:spacing w:line="240" w:lineRule="auto"/>
      </w:pPr>
      <w:proofErr w:type="spellStart"/>
      <w:r>
        <w:t>asm_main</w:t>
      </w:r>
      <w:proofErr w:type="spellEnd"/>
      <w:r>
        <w:t>: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Ldr</w:t>
      </w:r>
      <w:proofErr w:type="spellEnd"/>
      <w:r>
        <w:t xml:space="preserve"> r0, =0x41210000</w:t>
      </w:r>
      <w:r>
        <w:tab/>
      </w:r>
      <w:proofErr w:type="gramStart"/>
      <w:r>
        <w:tab/>
        <w:t>;@</w:t>
      </w:r>
      <w:proofErr w:type="gramEnd"/>
      <w:r>
        <w:t xml:space="preserve"> r0 is address of LED's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ldr</w:t>
      </w:r>
      <w:proofErr w:type="spellEnd"/>
      <w:r>
        <w:t xml:space="preserve"> r5, =0x41220000</w:t>
      </w:r>
      <w:r>
        <w:tab/>
      </w:r>
      <w:proofErr w:type="gramStart"/>
      <w:r>
        <w:tab/>
        <w:t>;@</w:t>
      </w:r>
      <w:proofErr w:type="gramEnd"/>
      <w:r>
        <w:t xml:space="preserve"> r5 is switch addresses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ldr</w:t>
      </w:r>
      <w:proofErr w:type="spellEnd"/>
      <w:r>
        <w:t xml:space="preserve"> r1, =0</w:t>
      </w:r>
      <w:r>
        <w:tab/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r1 is value of LED we are turning on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ldr</w:t>
      </w:r>
      <w:proofErr w:type="spellEnd"/>
      <w:r>
        <w:t xml:space="preserve"> r2, =0</w:t>
      </w:r>
      <w:r>
        <w:tab/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r2 is the count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ldr</w:t>
      </w:r>
      <w:proofErr w:type="spellEnd"/>
      <w:r>
        <w:t xml:space="preserve"> r3, =#10500</w:t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</w:t>
      </w:r>
      <w:proofErr w:type="spellStart"/>
      <w:r>
        <w:t>OnCycle</w:t>
      </w:r>
      <w:proofErr w:type="spellEnd"/>
      <w:r>
        <w:t xml:space="preserve"> Count 1050000 is </w:t>
      </w:r>
      <w:proofErr w:type="spellStart"/>
      <w:r>
        <w:t>approx</w:t>
      </w:r>
      <w:proofErr w:type="spellEnd"/>
      <w:r>
        <w:t xml:space="preserve"> 1s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ldr</w:t>
      </w:r>
      <w:proofErr w:type="spellEnd"/>
      <w:r>
        <w:t xml:space="preserve"> r4, =#15750</w:t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</w:t>
      </w:r>
      <w:proofErr w:type="spellStart"/>
      <w:r>
        <w:t>OffCycle</w:t>
      </w:r>
      <w:proofErr w:type="spellEnd"/>
      <w:r>
        <w:t xml:space="preserve"> Count</w:t>
      </w:r>
    </w:p>
    <w:p w:rsidR="00603118" w:rsidRDefault="00603118" w:rsidP="006F1E60">
      <w:pPr>
        <w:spacing w:line="240" w:lineRule="auto"/>
      </w:pPr>
      <w:proofErr w:type="spellStart"/>
      <w:r>
        <w:t>OnCycle</w:t>
      </w:r>
      <w:proofErr w:type="spellEnd"/>
      <w:r>
        <w:t>: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ldr</w:t>
      </w:r>
      <w:proofErr w:type="spellEnd"/>
      <w:r>
        <w:t xml:space="preserve"> r1, =0b10000000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str</w:t>
      </w:r>
      <w:proofErr w:type="spellEnd"/>
      <w:r>
        <w:t xml:space="preserve"> r1, [r0]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  <w:t>add r2, r2, #1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cmp</w:t>
      </w:r>
      <w:proofErr w:type="spellEnd"/>
      <w:r>
        <w:t xml:space="preserve"> r2, r3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MidCycle1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  <w:t xml:space="preserve">b </w:t>
      </w:r>
      <w:proofErr w:type="spellStart"/>
      <w:r>
        <w:t>OnCycle</w:t>
      </w:r>
      <w:proofErr w:type="spellEnd"/>
    </w:p>
    <w:p w:rsidR="00603118" w:rsidRDefault="00603118" w:rsidP="006F1E60">
      <w:pPr>
        <w:spacing w:line="240" w:lineRule="auto"/>
      </w:pPr>
      <w:r>
        <w:t>MidCycle1: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mov</w:t>
      </w:r>
      <w:proofErr w:type="spellEnd"/>
      <w:r>
        <w:t xml:space="preserve"> r2, #0</w:t>
      </w:r>
    </w:p>
    <w:p w:rsidR="00603118" w:rsidRDefault="00603118" w:rsidP="006F1E60">
      <w:pPr>
        <w:spacing w:line="240" w:lineRule="auto"/>
      </w:pPr>
      <w:r>
        <w:tab/>
        <w:t xml:space="preserve">b </w:t>
      </w:r>
      <w:proofErr w:type="spellStart"/>
      <w:r>
        <w:t>OffCycle</w:t>
      </w:r>
      <w:proofErr w:type="spellEnd"/>
    </w:p>
    <w:p w:rsidR="00603118" w:rsidRDefault="00603118" w:rsidP="006F1E60">
      <w:pPr>
        <w:spacing w:line="240" w:lineRule="auto"/>
      </w:pPr>
      <w:r>
        <w:t>MidCycle2:</w:t>
      </w:r>
    </w:p>
    <w:p w:rsidR="00603118" w:rsidRDefault="00603118" w:rsidP="006F1E60">
      <w:pPr>
        <w:spacing w:line="240" w:lineRule="auto"/>
      </w:pPr>
      <w:r>
        <w:tab/>
      </w:r>
      <w:proofErr w:type="spellStart"/>
      <w:r>
        <w:t>mov</w:t>
      </w:r>
      <w:proofErr w:type="spellEnd"/>
      <w:r>
        <w:t xml:space="preserve"> r2, #0</w:t>
      </w:r>
    </w:p>
    <w:p w:rsidR="00603118" w:rsidRDefault="00603118" w:rsidP="006F1E60">
      <w:pPr>
        <w:spacing w:line="240" w:lineRule="auto"/>
      </w:pPr>
      <w:r>
        <w:tab/>
        <w:t xml:space="preserve">b </w:t>
      </w:r>
      <w:proofErr w:type="spellStart"/>
      <w:r>
        <w:t>OnCycle</w:t>
      </w:r>
      <w:proofErr w:type="spellEnd"/>
    </w:p>
    <w:p w:rsidR="00603118" w:rsidRDefault="00603118" w:rsidP="006F1E60">
      <w:pPr>
        <w:spacing w:line="240" w:lineRule="auto"/>
      </w:pPr>
      <w:proofErr w:type="spellStart"/>
      <w:r>
        <w:t>OffCycle</w:t>
      </w:r>
      <w:proofErr w:type="spellEnd"/>
      <w:r>
        <w:t>: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ldr</w:t>
      </w:r>
      <w:proofErr w:type="spellEnd"/>
      <w:r>
        <w:t xml:space="preserve"> r1, =0b01000000</w:t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write to LED 6 to compare with L7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str</w:t>
      </w:r>
      <w:proofErr w:type="spellEnd"/>
      <w:r>
        <w:t xml:space="preserve"> r1, [r0]</w:t>
      </w:r>
      <w:r>
        <w:tab/>
      </w:r>
      <w:r>
        <w:tab/>
      </w:r>
      <w:r>
        <w:tab/>
      </w:r>
      <w:proofErr w:type="gramStart"/>
      <w:r>
        <w:tab/>
        <w:t>;@</w:t>
      </w:r>
      <w:proofErr w:type="gramEnd"/>
      <w:r>
        <w:t xml:space="preserve"> reset counter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  <w:t>add r2, r2, #1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cmp</w:t>
      </w:r>
      <w:proofErr w:type="spellEnd"/>
      <w:r>
        <w:t xml:space="preserve"> r2, r4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</w:r>
      <w:proofErr w:type="spellStart"/>
      <w:r>
        <w:t>beq</w:t>
      </w:r>
      <w:proofErr w:type="spellEnd"/>
      <w:r>
        <w:t xml:space="preserve"> MidCycle2</w:t>
      </w:r>
    </w:p>
    <w:p w:rsidR="00603118" w:rsidRDefault="00603118" w:rsidP="006F1E60">
      <w:pPr>
        <w:spacing w:line="240" w:lineRule="auto"/>
      </w:pPr>
      <w:r>
        <w:t xml:space="preserve"> </w:t>
      </w:r>
      <w:r>
        <w:tab/>
        <w:t xml:space="preserve">b </w:t>
      </w:r>
      <w:proofErr w:type="spellStart"/>
      <w:r>
        <w:t>OffCycle</w:t>
      </w:r>
      <w:proofErr w:type="spellEnd"/>
    </w:p>
    <w:p w:rsidR="00603118" w:rsidRPr="00603118" w:rsidRDefault="00603118" w:rsidP="00603118">
      <w:pPr>
        <w:rPr>
          <w:b/>
          <w:sz w:val="32"/>
          <w:szCs w:val="32"/>
        </w:rPr>
      </w:pPr>
      <w:r w:rsidRPr="00603118">
        <w:rPr>
          <w:b/>
          <w:sz w:val="32"/>
          <w:szCs w:val="32"/>
        </w:rPr>
        <w:lastRenderedPageBreak/>
        <w:t>D</w:t>
      </w:r>
      <w:r>
        <w:rPr>
          <w:b/>
          <w:sz w:val="32"/>
          <w:szCs w:val="32"/>
        </w:rPr>
        <w:t>ata</w:t>
      </w:r>
      <w:r w:rsidRPr="00603118">
        <w:rPr>
          <w:b/>
          <w:sz w:val="32"/>
          <w:szCs w:val="32"/>
        </w:rPr>
        <w:t>:</w:t>
      </w:r>
    </w:p>
    <w:p w:rsidR="00603118" w:rsidRPr="00DC73DE" w:rsidRDefault="006F1E60" w:rsidP="00603118">
      <w:pPr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3343275</wp:posOffset>
                </wp:positionV>
                <wp:extent cx="236093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3DE" w:rsidRDefault="00DC73DE" w:rsidP="00DC73DE">
                            <w:pPr>
                              <w:jc w:val="center"/>
                            </w:pPr>
                            <w:r>
                              <w:t>Figure 1. A graphical representation of duty cycle versus frequency.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9pt;margin-top:263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Am&#10;VKkT4AAAAAsBAAAPAAAAAAAAAAAAAAAAAGgEAABkcnMvZG93bnJldi54bWxQSwUGAAAAAAQABADz&#10;AAAAdQUAAAAA&#10;" filled="f" stroked="f">
                <v:textbox style="mso-fit-shape-to-text:t">
                  <w:txbxContent>
                    <w:p w:rsidR="00DC73DE" w:rsidRDefault="00DC73DE" w:rsidP="00DC73DE">
                      <w:pPr>
                        <w:jc w:val="center"/>
                      </w:pPr>
                      <w:r>
                        <w:t>Figure 1. A graphical representation of duty cycle versus frequency.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07C54A">
            <wp:simplePos x="0" y="0"/>
            <wp:positionH relativeFrom="column">
              <wp:posOffset>2047875</wp:posOffset>
            </wp:positionH>
            <wp:positionV relativeFrom="paragraph">
              <wp:posOffset>440055</wp:posOffset>
            </wp:positionV>
            <wp:extent cx="46863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118" w:rsidRPr="00DC73DE">
        <w:rPr>
          <w:b/>
          <w:sz w:val="26"/>
          <w:szCs w:val="26"/>
        </w:rPr>
        <w:t>PART 6 - Effects of Changing Duty Cycle and the Resulting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</w:tblGrid>
      <w:tr w:rsidR="00603118" w:rsidTr="00AA171C">
        <w:tc>
          <w:tcPr>
            <w:tcW w:w="1255" w:type="dxa"/>
          </w:tcPr>
          <w:p w:rsidR="00603118" w:rsidRPr="006911E7" w:rsidRDefault="00603118" w:rsidP="00603118">
            <w:pPr>
              <w:rPr>
                <w:b/>
              </w:rPr>
            </w:pPr>
            <w:r w:rsidRPr="006911E7">
              <w:rPr>
                <w:b/>
              </w:rPr>
              <w:t>Duty Cycle</w:t>
            </w:r>
          </w:p>
        </w:tc>
        <w:tc>
          <w:tcPr>
            <w:tcW w:w="1800" w:type="dxa"/>
          </w:tcPr>
          <w:p w:rsidR="00603118" w:rsidRPr="006911E7" w:rsidRDefault="00603118" w:rsidP="00603118">
            <w:pPr>
              <w:rPr>
                <w:b/>
              </w:rPr>
            </w:pPr>
            <w:r w:rsidRPr="006911E7">
              <w:rPr>
                <w:b/>
              </w:rPr>
              <w:t>Frequency (Hz)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99%</w:t>
            </w:r>
          </w:p>
        </w:tc>
        <w:tc>
          <w:tcPr>
            <w:tcW w:w="1800" w:type="dxa"/>
          </w:tcPr>
          <w:p w:rsidR="00603118" w:rsidRDefault="00603118" w:rsidP="00603118">
            <w:r>
              <w:t>5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97%</w:t>
            </w:r>
          </w:p>
        </w:tc>
        <w:tc>
          <w:tcPr>
            <w:tcW w:w="1800" w:type="dxa"/>
          </w:tcPr>
          <w:p w:rsidR="00603118" w:rsidRDefault="00603118" w:rsidP="00603118">
            <w:r>
              <w:t>10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95%</w:t>
            </w:r>
          </w:p>
        </w:tc>
        <w:tc>
          <w:tcPr>
            <w:tcW w:w="1800" w:type="dxa"/>
          </w:tcPr>
          <w:p w:rsidR="00603118" w:rsidRDefault="00603118" w:rsidP="00603118">
            <w:r>
              <w:t>14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90%</w:t>
            </w:r>
          </w:p>
        </w:tc>
        <w:tc>
          <w:tcPr>
            <w:tcW w:w="1800" w:type="dxa"/>
          </w:tcPr>
          <w:p w:rsidR="00603118" w:rsidRDefault="00603118" w:rsidP="00603118">
            <w:r>
              <w:t>22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88%</w:t>
            </w:r>
          </w:p>
        </w:tc>
        <w:tc>
          <w:tcPr>
            <w:tcW w:w="1800" w:type="dxa"/>
          </w:tcPr>
          <w:p w:rsidR="00603118" w:rsidRDefault="00603118" w:rsidP="00603118">
            <w:r>
              <w:t>24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85%</w:t>
            </w:r>
          </w:p>
        </w:tc>
        <w:tc>
          <w:tcPr>
            <w:tcW w:w="1800" w:type="dxa"/>
          </w:tcPr>
          <w:p w:rsidR="00603118" w:rsidRDefault="00603118" w:rsidP="00603118">
            <w:r>
              <w:t>26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80%</w:t>
            </w:r>
          </w:p>
        </w:tc>
        <w:tc>
          <w:tcPr>
            <w:tcW w:w="1800" w:type="dxa"/>
          </w:tcPr>
          <w:p w:rsidR="00603118" w:rsidRDefault="00603118" w:rsidP="00603118">
            <w:r>
              <w:t>28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75%</w:t>
            </w:r>
          </w:p>
        </w:tc>
        <w:tc>
          <w:tcPr>
            <w:tcW w:w="1800" w:type="dxa"/>
          </w:tcPr>
          <w:p w:rsidR="00603118" w:rsidRDefault="00603118" w:rsidP="00603118">
            <w:r>
              <w:t>30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70%</w:t>
            </w:r>
          </w:p>
        </w:tc>
        <w:tc>
          <w:tcPr>
            <w:tcW w:w="1800" w:type="dxa"/>
          </w:tcPr>
          <w:p w:rsidR="00603118" w:rsidRDefault="00603118" w:rsidP="00603118">
            <w:r>
              <w:t>32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65%</w:t>
            </w:r>
          </w:p>
        </w:tc>
        <w:tc>
          <w:tcPr>
            <w:tcW w:w="1800" w:type="dxa"/>
          </w:tcPr>
          <w:p w:rsidR="00603118" w:rsidRDefault="00603118" w:rsidP="00603118">
            <w:r>
              <w:t>34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63%</w:t>
            </w:r>
          </w:p>
        </w:tc>
        <w:tc>
          <w:tcPr>
            <w:tcW w:w="1800" w:type="dxa"/>
          </w:tcPr>
          <w:p w:rsidR="00603118" w:rsidRDefault="00603118" w:rsidP="00603118">
            <w:r>
              <w:t>35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60%</w:t>
            </w:r>
          </w:p>
        </w:tc>
        <w:tc>
          <w:tcPr>
            <w:tcW w:w="1800" w:type="dxa"/>
          </w:tcPr>
          <w:p w:rsidR="00603118" w:rsidRDefault="00603118" w:rsidP="00603118">
            <w:r>
              <w:t>36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55%</w:t>
            </w:r>
          </w:p>
        </w:tc>
        <w:tc>
          <w:tcPr>
            <w:tcW w:w="1800" w:type="dxa"/>
          </w:tcPr>
          <w:p w:rsidR="00603118" w:rsidRDefault="00AA171C" w:rsidP="00603118">
            <w:r>
              <w:t>37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50%</w:t>
            </w:r>
          </w:p>
        </w:tc>
        <w:tc>
          <w:tcPr>
            <w:tcW w:w="1800" w:type="dxa"/>
          </w:tcPr>
          <w:p w:rsidR="00603118" w:rsidRDefault="00AA171C" w:rsidP="00603118">
            <w:r>
              <w:t>38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45%</w:t>
            </w:r>
          </w:p>
        </w:tc>
        <w:tc>
          <w:tcPr>
            <w:tcW w:w="1800" w:type="dxa"/>
          </w:tcPr>
          <w:p w:rsidR="00603118" w:rsidRDefault="00AA171C" w:rsidP="00603118">
            <w:r>
              <w:t>39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40%</w:t>
            </w:r>
          </w:p>
        </w:tc>
        <w:tc>
          <w:tcPr>
            <w:tcW w:w="1800" w:type="dxa"/>
          </w:tcPr>
          <w:p w:rsidR="00603118" w:rsidRDefault="00AA171C" w:rsidP="00603118">
            <w:r>
              <w:t>39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37%</w:t>
            </w:r>
          </w:p>
        </w:tc>
        <w:tc>
          <w:tcPr>
            <w:tcW w:w="1800" w:type="dxa"/>
          </w:tcPr>
          <w:p w:rsidR="00603118" w:rsidRDefault="00AA171C" w:rsidP="00603118">
            <w:r>
              <w:t>39.5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35%</w:t>
            </w:r>
          </w:p>
        </w:tc>
        <w:tc>
          <w:tcPr>
            <w:tcW w:w="1800" w:type="dxa"/>
          </w:tcPr>
          <w:p w:rsidR="00603118" w:rsidRDefault="00AA171C" w:rsidP="00603118">
            <w:r>
              <w:t>39.5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30%</w:t>
            </w:r>
          </w:p>
        </w:tc>
        <w:tc>
          <w:tcPr>
            <w:tcW w:w="1800" w:type="dxa"/>
          </w:tcPr>
          <w:p w:rsidR="00603118" w:rsidRDefault="00AA171C" w:rsidP="00603118">
            <w:r>
              <w:t>39.7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25%</w:t>
            </w:r>
          </w:p>
        </w:tc>
        <w:tc>
          <w:tcPr>
            <w:tcW w:w="1800" w:type="dxa"/>
          </w:tcPr>
          <w:p w:rsidR="00603118" w:rsidRDefault="00AA171C" w:rsidP="00603118">
            <w:r>
              <w:t>39.8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20%</w:t>
            </w:r>
          </w:p>
        </w:tc>
        <w:tc>
          <w:tcPr>
            <w:tcW w:w="1800" w:type="dxa"/>
          </w:tcPr>
          <w:p w:rsidR="00603118" w:rsidRDefault="00AA171C" w:rsidP="00603118">
            <w:r>
              <w:t>39.8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15%</w:t>
            </w:r>
          </w:p>
        </w:tc>
        <w:tc>
          <w:tcPr>
            <w:tcW w:w="1800" w:type="dxa"/>
          </w:tcPr>
          <w:p w:rsidR="00603118" w:rsidRDefault="00AA171C" w:rsidP="00603118">
            <w:r>
              <w:t>39.85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12%</w:t>
            </w:r>
          </w:p>
        </w:tc>
        <w:tc>
          <w:tcPr>
            <w:tcW w:w="1800" w:type="dxa"/>
          </w:tcPr>
          <w:p w:rsidR="00603118" w:rsidRDefault="00AA171C" w:rsidP="00603118">
            <w:r>
              <w:t>39.85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10%</w:t>
            </w:r>
          </w:p>
        </w:tc>
        <w:tc>
          <w:tcPr>
            <w:tcW w:w="1800" w:type="dxa"/>
          </w:tcPr>
          <w:p w:rsidR="00603118" w:rsidRDefault="00AA171C" w:rsidP="00603118">
            <w:r>
              <w:t>39.9</w:t>
            </w:r>
          </w:p>
        </w:tc>
      </w:tr>
      <w:tr w:rsidR="00603118" w:rsidTr="00AA171C">
        <w:tc>
          <w:tcPr>
            <w:tcW w:w="1255" w:type="dxa"/>
          </w:tcPr>
          <w:p w:rsidR="00603118" w:rsidRDefault="00603118" w:rsidP="00603118">
            <w:r>
              <w:t>5%</w:t>
            </w:r>
          </w:p>
        </w:tc>
        <w:tc>
          <w:tcPr>
            <w:tcW w:w="1800" w:type="dxa"/>
          </w:tcPr>
          <w:p w:rsidR="00603118" w:rsidRDefault="00AA171C" w:rsidP="00603118">
            <w:r>
              <w:t>39.9</w:t>
            </w:r>
          </w:p>
        </w:tc>
      </w:tr>
      <w:tr w:rsidR="00603118" w:rsidTr="00AA171C">
        <w:tc>
          <w:tcPr>
            <w:tcW w:w="1255" w:type="dxa"/>
          </w:tcPr>
          <w:p w:rsidR="00603118" w:rsidRDefault="00FB05A3" w:rsidP="00603118">
            <w:r>
              <w:t>3%</w:t>
            </w:r>
          </w:p>
        </w:tc>
        <w:tc>
          <w:tcPr>
            <w:tcW w:w="1800" w:type="dxa"/>
          </w:tcPr>
          <w:p w:rsidR="00603118" w:rsidRDefault="00AA171C" w:rsidP="00603118">
            <w:r>
              <w:t>39.95</w:t>
            </w:r>
          </w:p>
        </w:tc>
      </w:tr>
      <w:tr w:rsidR="00FB05A3" w:rsidTr="00AA171C">
        <w:tc>
          <w:tcPr>
            <w:tcW w:w="1255" w:type="dxa"/>
          </w:tcPr>
          <w:p w:rsidR="00FB05A3" w:rsidRDefault="00FB05A3" w:rsidP="00603118">
            <w:r>
              <w:t>1%</w:t>
            </w:r>
          </w:p>
        </w:tc>
        <w:tc>
          <w:tcPr>
            <w:tcW w:w="1800" w:type="dxa"/>
          </w:tcPr>
          <w:p w:rsidR="00FB05A3" w:rsidRDefault="00AA171C" w:rsidP="00603118">
            <w:r>
              <w:t>40</w:t>
            </w:r>
          </w:p>
        </w:tc>
      </w:tr>
    </w:tbl>
    <w:p w:rsidR="00603118" w:rsidRDefault="00603118" w:rsidP="00603118"/>
    <w:p w:rsidR="00DC73DE" w:rsidRDefault="00AA171C">
      <w:r>
        <w:br w:type="page"/>
      </w:r>
    </w:p>
    <w:p w:rsidR="00603118" w:rsidRPr="00DC73DE" w:rsidRDefault="00603118" w:rsidP="00DC73DE">
      <w:pPr>
        <w:jc w:val="center"/>
        <w:rPr>
          <w:b/>
          <w:sz w:val="26"/>
          <w:szCs w:val="26"/>
        </w:rPr>
      </w:pPr>
      <w:r w:rsidRPr="00DC73DE">
        <w:rPr>
          <w:b/>
          <w:sz w:val="26"/>
          <w:szCs w:val="26"/>
        </w:rPr>
        <w:lastRenderedPageBreak/>
        <w:t>Part 7 - Effects on Light Intensity when Changing the Duty Cycle at a Set Frequency</w:t>
      </w:r>
    </w:p>
    <w:p w:rsidR="00603118" w:rsidRDefault="00603118" w:rsidP="00603118"/>
    <w:p w:rsidR="00603118" w:rsidRDefault="006F1E60" w:rsidP="00603118">
      <w:r>
        <w:rPr>
          <w:noProof/>
        </w:rPr>
        <w:drawing>
          <wp:anchor distT="0" distB="0" distL="114300" distR="114300" simplePos="0" relativeHeight="251661312" behindDoc="1" locked="0" layoutInCell="1" allowOverlap="1" wp14:anchorId="4B9F14FB">
            <wp:simplePos x="0" y="0"/>
            <wp:positionH relativeFrom="column">
              <wp:posOffset>2219326</wp:posOffset>
            </wp:positionH>
            <wp:positionV relativeFrom="paragraph">
              <wp:posOffset>3929380</wp:posOffset>
            </wp:positionV>
            <wp:extent cx="4514850" cy="329565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3337560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E60" w:rsidRDefault="006F1E60" w:rsidP="006F1E60">
                            <w:pPr>
                              <w:jc w:val="center"/>
                            </w:pPr>
                            <w:r>
                              <w:t>Figure 2. Graphical representation comparing the duty cycle with the intensity of the LED.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0.65pt;margin-top:262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" filled="f" stroked="f">
                <v:textbox style="mso-fit-shape-to-text:t">
                  <w:txbxContent>
                    <w:p w:rsidR="006F1E60" w:rsidRDefault="006F1E60" w:rsidP="006F1E60">
                      <w:pPr>
                        <w:jc w:val="center"/>
                      </w:pPr>
                      <w:r>
                        <w:t>Figure 2. Graphical representation comparing the duty cycle with the intensity of the LED.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A68915F">
            <wp:simplePos x="0" y="0"/>
            <wp:positionH relativeFrom="column">
              <wp:posOffset>2219325</wp:posOffset>
            </wp:positionH>
            <wp:positionV relativeFrom="paragraph">
              <wp:posOffset>205105</wp:posOffset>
            </wp:positionV>
            <wp:extent cx="4514850" cy="3133725"/>
            <wp:effectExtent l="0" t="0" r="0" b="952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118">
        <w:t>We found that at any Frequency greater than 40 Hz no blinking was distinguishable at any Duty Cycle</w:t>
      </w:r>
      <w:r w:rsidR="00DC73D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</w:tblGrid>
      <w:tr w:rsidR="006911E7" w:rsidRPr="00E72672" w:rsidTr="006911E7">
        <w:tc>
          <w:tcPr>
            <w:tcW w:w="1525" w:type="dxa"/>
          </w:tcPr>
          <w:p w:rsidR="006911E7" w:rsidRPr="006911E7" w:rsidRDefault="006911E7" w:rsidP="006556C9">
            <w:pPr>
              <w:rPr>
                <w:b/>
              </w:rPr>
            </w:pPr>
            <w:r w:rsidRPr="006911E7">
              <w:rPr>
                <w:b/>
              </w:rPr>
              <w:t>Duty Cycle</w:t>
            </w:r>
          </w:p>
        </w:tc>
        <w:tc>
          <w:tcPr>
            <w:tcW w:w="1800" w:type="dxa"/>
          </w:tcPr>
          <w:p w:rsidR="006911E7" w:rsidRPr="006911E7" w:rsidRDefault="006911E7" w:rsidP="006556C9">
            <w:pPr>
              <w:rPr>
                <w:b/>
              </w:rPr>
            </w:pPr>
            <w:r w:rsidRPr="006911E7">
              <w:rPr>
                <w:b/>
              </w:rPr>
              <w:t>Brightness (0-1)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100.00%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1.000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80.00%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1.000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60.00%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1.000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50.00%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1.000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45.00%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0.975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40.00%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0.950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30.00%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0.870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25.00%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0.800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20.00%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0.650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15.00%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0.500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12.50%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0.450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10.00%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0.380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7.50%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0.300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5.00%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0.250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3.33%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0.200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2.00%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0.125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1.00%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0.100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0.50%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0.075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0.25%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0.060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0.10%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0.050</w:t>
            </w:r>
          </w:p>
        </w:tc>
      </w:tr>
      <w:tr w:rsidR="00E72672" w:rsidRPr="00E72672" w:rsidTr="006911E7">
        <w:tc>
          <w:tcPr>
            <w:tcW w:w="1525" w:type="dxa"/>
          </w:tcPr>
          <w:p w:rsidR="00E72672" w:rsidRPr="00E72672" w:rsidRDefault="00E72672" w:rsidP="006556C9">
            <w:r w:rsidRPr="00E72672">
              <w:t>0.01%</w:t>
            </w:r>
          </w:p>
        </w:tc>
        <w:tc>
          <w:tcPr>
            <w:tcW w:w="1800" w:type="dxa"/>
          </w:tcPr>
          <w:p w:rsidR="00E72672" w:rsidRPr="00E72672" w:rsidRDefault="00E72672" w:rsidP="006556C9">
            <w:r w:rsidRPr="00E72672">
              <w:t>0.009</w:t>
            </w:r>
          </w:p>
        </w:tc>
      </w:tr>
    </w:tbl>
    <w:p w:rsidR="00DC73DE" w:rsidRDefault="00DC73DE" w:rsidP="00603118"/>
    <w:p w:rsidR="00DC73DE" w:rsidRDefault="006F1E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2841625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E60" w:rsidRDefault="006F1E60" w:rsidP="006F1E60">
                            <w:pPr>
                              <w:jc w:val="center"/>
                            </w:pPr>
                            <w:r>
                              <w:t>Figure 3. Graphical representation comparing the duty cycle with the intensity of the LED on a logarithmic 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9.25pt;margin-top:223.7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Fb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bn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" filled="f" stroked="f">
                <v:textbox style="mso-fit-shape-to-text:t">
                  <w:txbxContent>
                    <w:p w:rsidR="006F1E60" w:rsidRDefault="006F1E60" w:rsidP="006F1E60">
                      <w:pPr>
                        <w:jc w:val="center"/>
                      </w:pPr>
                      <w:r>
                        <w:t>Figure 3. Graphical representation comparing the duty cycle with the intensity of the LED on a logarithmic scale</w:t>
                      </w:r>
                    </w:p>
                  </w:txbxContent>
                </v:textbox>
              </v:shape>
            </w:pict>
          </mc:Fallback>
        </mc:AlternateContent>
      </w:r>
      <w:r w:rsidR="00DC73DE">
        <w:br w:type="page"/>
      </w:r>
    </w:p>
    <w:p w:rsidR="00603118" w:rsidRPr="006911E7" w:rsidRDefault="00603118" w:rsidP="00603118">
      <w:pPr>
        <w:rPr>
          <w:b/>
          <w:sz w:val="32"/>
          <w:szCs w:val="32"/>
        </w:rPr>
      </w:pPr>
      <w:r w:rsidRPr="006911E7">
        <w:rPr>
          <w:b/>
          <w:sz w:val="32"/>
          <w:szCs w:val="32"/>
        </w:rPr>
        <w:lastRenderedPageBreak/>
        <w:t>Results &amp; Discussion:</w:t>
      </w:r>
    </w:p>
    <w:p w:rsidR="00603118" w:rsidRPr="006911E7" w:rsidRDefault="00603118" w:rsidP="00603118">
      <w:pPr>
        <w:rPr>
          <w:b/>
          <w:sz w:val="26"/>
          <w:szCs w:val="26"/>
        </w:rPr>
      </w:pPr>
      <w:r>
        <w:tab/>
      </w:r>
      <w:r w:rsidRPr="006911E7">
        <w:rPr>
          <w:b/>
          <w:sz w:val="26"/>
          <w:szCs w:val="26"/>
        </w:rPr>
        <w:t>Part 6:</w:t>
      </w:r>
    </w:p>
    <w:p w:rsidR="00603118" w:rsidRDefault="006F1E60" w:rsidP="00603118">
      <w:r>
        <w:t>For our c</w:t>
      </w:r>
      <w:r w:rsidR="00603118">
        <w:t xml:space="preserve">ode, we took several measurements and found that 1,050,000 operations </w:t>
      </w:r>
      <w:proofErr w:type="gramStart"/>
      <w:r w:rsidR="00603118">
        <w:t>was</w:t>
      </w:r>
      <w:proofErr w:type="gramEnd"/>
      <w:r w:rsidR="00603118">
        <w:t xml:space="preserve"> </w:t>
      </w:r>
      <w:r w:rsidR="006911E7">
        <w:t>about one second. U</w:t>
      </w:r>
      <w:r w:rsidR="00603118">
        <w:t>sing this</w:t>
      </w:r>
      <w:r w:rsidR="006911E7">
        <w:t>,</w:t>
      </w:r>
      <w:r w:rsidR="00603118">
        <w:t xml:space="preserve"> we base</w:t>
      </w:r>
      <w:r w:rsidR="006911E7">
        <w:t>d all our calculations</w:t>
      </w:r>
      <w:r w:rsidR="00603118">
        <w:t xml:space="preserve"> to find</w:t>
      </w:r>
      <w:r>
        <w:t xml:space="preserve"> the other relative duty cycles. O</w:t>
      </w:r>
      <w:r w:rsidR="00603118">
        <w:t>ur formula fo</w:t>
      </w:r>
      <w:r>
        <w:t>r calculating the counts for both the</w:t>
      </w:r>
      <w:r w:rsidR="00603118">
        <w:t xml:space="preserve"> on and off loops is as follows:</w:t>
      </w:r>
    </w:p>
    <w:p w:rsidR="006F1E60" w:rsidRPr="006F1E60" w:rsidRDefault="006F1E60" w:rsidP="006031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Frequency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Duty Cycle*1,050,000</m:t>
              </m:r>
            </m:e>
          </m:d>
          <m:r>
            <w:rPr>
              <w:rFonts w:ascii="Cambria Math" w:hAnsi="Cambria Math"/>
            </w:rPr>
            <m:t>=On Count</m:t>
          </m:r>
        </m:oMath>
      </m:oMathPara>
    </w:p>
    <w:p w:rsidR="00603118" w:rsidRDefault="006F1E60" w:rsidP="0060311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Frequency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1-Duty Cycle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1,050,000</m:t>
              </m:r>
            </m:e>
          </m:d>
          <m:r>
            <w:rPr>
              <w:rFonts w:ascii="Cambria Math" w:hAnsi="Cambria Math"/>
            </w:rPr>
            <m:t>=Off Count</m:t>
          </m:r>
        </m:oMath>
      </m:oMathPara>
    </w:p>
    <w:p w:rsidR="00603118" w:rsidRDefault="00603118" w:rsidP="00603118">
      <w:r>
        <w:t>We collected 28 points of data fo</w:t>
      </w:r>
      <w:r w:rsidR="006911E7">
        <w:t>r this part of the experiment. F</w:t>
      </w:r>
      <w:r>
        <w:t>or each point we calc</w:t>
      </w:r>
      <w:r w:rsidR="006911E7">
        <w:t>ul</w:t>
      </w:r>
      <w:r w:rsidR="005B4A09">
        <w:t xml:space="preserve">ated the number of iterations </w:t>
      </w:r>
      <w:r>
        <w:t>that was</w:t>
      </w:r>
      <w:r w:rsidR="006911E7">
        <w:t xml:space="preserve"> needed to produce the desired duty c</w:t>
      </w:r>
      <w:r>
        <w:t>ycle at a frequency which we thought would not display any visible blinking.</w:t>
      </w:r>
      <w:r w:rsidR="006911E7">
        <w:t xml:space="preserve"> F</w:t>
      </w:r>
      <w:r>
        <w:t>or example, when producing our data for a duty cycle of 99% we tested 1Hz first, which prod</w:t>
      </w:r>
      <w:r w:rsidR="006911E7">
        <w:t>uced a slight blinking result. U</w:t>
      </w:r>
      <w:r>
        <w:t xml:space="preserve">pon finding that a </w:t>
      </w:r>
      <w:r w:rsidR="006911E7">
        <w:t>frequency</w:t>
      </w:r>
      <w:r>
        <w:t xml:space="preserve"> </w:t>
      </w:r>
      <w:r w:rsidR="006911E7">
        <w:t xml:space="preserve">does not </w:t>
      </w:r>
      <w:r>
        <w:t>work</w:t>
      </w:r>
      <w:r w:rsidR="006911E7">
        <w:t>, we move up in frequency until we find</w:t>
      </w:r>
      <w:r>
        <w:t xml:space="preserve"> one that works.</w:t>
      </w:r>
    </w:p>
    <w:p w:rsidR="00603118" w:rsidRDefault="006911E7" w:rsidP="00603118">
      <w:r>
        <w:t xml:space="preserve">After graphing all </w:t>
      </w:r>
      <w:r w:rsidR="00603118">
        <w:t>our data (Fig</w:t>
      </w:r>
      <w:r>
        <w:t>ure 1</w:t>
      </w:r>
      <w:r w:rsidR="00603118">
        <w:t>)</w:t>
      </w:r>
      <w:r>
        <w:t>. I</w:t>
      </w:r>
      <w:r w:rsidR="00603118">
        <w:t xml:space="preserve">t is easy to see that as we increase the duty cycle, the </w:t>
      </w:r>
      <w:r>
        <w:t>frequency</w:t>
      </w:r>
      <w:r w:rsidR="00603118">
        <w:t xml:space="preserve"> needed to induce a </w:t>
      </w:r>
      <w:r>
        <w:t>perceived continues light without flashing decreases. T</w:t>
      </w:r>
      <w:r w:rsidR="00603118">
        <w:t>he data follows a linear distribution at first but then changes to a curved distribution</w:t>
      </w:r>
      <w:r>
        <w:t xml:space="preserve"> when it approaches higher duty c</w:t>
      </w:r>
      <w:r w:rsidR="00603118">
        <w:t>ycles.</w:t>
      </w:r>
    </w:p>
    <w:p w:rsidR="00603118" w:rsidRDefault="00603118" w:rsidP="00603118"/>
    <w:p w:rsidR="00603118" w:rsidRPr="006911E7" w:rsidRDefault="006911E7" w:rsidP="00603118">
      <w:pPr>
        <w:rPr>
          <w:b/>
          <w:sz w:val="26"/>
          <w:szCs w:val="26"/>
        </w:rPr>
      </w:pPr>
      <w:r>
        <w:tab/>
      </w:r>
      <w:r w:rsidRPr="006911E7">
        <w:rPr>
          <w:b/>
          <w:sz w:val="26"/>
          <w:szCs w:val="26"/>
        </w:rPr>
        <w:t>Part 7:</w:t>
      </w:r>
    </w:p>
    <w:p w:rsidR="00603118" w:rsidRDefault="00603118" w:rsidP="00603118">
      <w:r>
        <w:t>Using the same method to calculate our loop cycles as in part 6, we collected 20 points of data. In this part of the lab we fixed our</w:t>
      </w:r>
      <w:r w:rsidR="006911E7">
        <w:t xml:space="preserve"> </w:t>
      </w:r>
      <w:r>
        <w:t>frequency at 40 Hz and observed the change of the state o</w:t>
      </w:r>
      <w:r w:rsidR="005B4A09">
        <w:t>f the LED when we adjusted the duty c</w:t>
      </w:r>
      <w:r>
        <w:t>ycle. T</w:t>
      </w:r>
      <w:r w:rsidR="006911E7">
        <w:t xml:space="preserve">heoretically the light intensity </w:t>
      </w:r>
      <w:r>
        <w:t>s</w:t>
      </w:r>
      <w:r w:rsidR="006911E7">
        <w:t>hould follow a linear pattern. As an example, if we have a 90% d</w:t>
      </w:r>
      <w:r>
        <w:t>uty cycle at 40 Hz The LED is still only on 90% of the time. This should result</w:t>
      </w:r>
      <w:r w:rsidR="006911E7">
        <w:t xml:space="preserve"> </w:t>
      </w:r>
      <w:r>
        <w:t>in a 0.9 intensity on our scale of 0-1.</w:t>
      </w:r>
    </w:p>
    <w:p w:rsidR="00603118" w:rsidRDefault="00603118" w:rsidP="00603118">
      <w:r>
        <w:t>However</w:t>
      </w:r>
      <w:r w:rsidR="005B4A09">
        <w:t>,</w:t>
      </w:r>
      <w:r>
        <w:t xml:space="preserve"> as obser</w:t>
      </w:r>
      <w:r w:rsidR="006911E7">
        <w:t>ved by our data plots (Figure 2 &amp; Figure 3) this is not the case. W</w:t>
      </w:r>
      <w:r>
        <w:t xml:space="preserve">e observed that any duty cycle above 50% was </w:t>
      </w:r>
      <w:r w:rsidR="006911E7">
        <w:t>indistinguishable</w:t>
      </w:r>
      <w:r>
        <w:t xml:space="preserve"> from</w:t>
      </w:r>
      <w:r w:rsidR="006911E7">
        <w:t xml:space="preserve"> a duty c</w:t>
      </w:r>
      <w:r>
        <w:t>ycle of 100%</w:t>
      </w:r>
      <w:r w:rsidR="006911E7">
        <w:t>. T</w:t>
      </w:r>
      <w:r>
        <w:t>herefore</w:t>
      </w:r>
      <w:r w:rsidR="006911E7">
        <w:t>,</w:t>
      </w:r>
      <w:r>
        <w:t xml:space="preserve"> we w</w:t>
      </w:r>
      <w:r w:rsidR="005B4A09">
        <w:t>ere prompted to test duty cycle</w:t>
      </w:r>
      <w:r>
        <w:t>s in the lower range. As to why this is, we believe it is because since we chose</w:t>
      </w:r>
      <w:r w:rsidR="006911E7">
        <w:t xml:space="preserve"> </w:t>
      </w:r>
      <w:r>
        <w:t>a frequency that does not result in any blinking to the human eye, that the time the LED spends off at this frequency (40Hz is approx</w:t>
      </w:r>
      <w:r w:rsidR="006911E7">
        <w:t>imately</w:t>
      </w:r>
      <w:r>
        <w:t xml:space="preserve"> 25ms) is</w:t>
      </w:r>
      <w:r w:rsidR="006911E7">
        <w:t xml:space="preserve"> </w:t>
      </w:r>
      <w:r>
        <w:t>undetected</w:t>
      </w:r>
      <w:r w:rsidR="005B4A09">
        <w:t xml:space="preserve"> by the human eye as well. E</w:t>
      </w:r>
      <w:r>
        <w:t>v</w:t>
      </w:r>
      <w:r w:rsidR="006911E7">
        <w:t xml:space="preserve">en though </w:t>
      </w:r>
      <w:r>
        <w:t>technically the intensity of light should follow a linear distribu</w:t>
      </w:r>
      <w:r w:rsidR="006911E7">
        <w:t xml:space="preserve">tion, our observed data differs </w:t>
      </w:r>
      <w:r>
        <w:t>because of this.</w:t>
      </w:r>
    </w:p>
    <w:p w:rsidR="006911E7" w:rsidRDefault="006911E7">
      <w:r>
        <w:br w:type="page"/>
      </w:r>
    </w:p>
    <w:p w:rsidR="006911E7" w:rsidRDefault="006911E7" w:rsidP="00603118">
      <w:pPr>
        <w:rPr>
          <w:b/>
          <w:sz w:val="32"/>
          <w:szCs w:val="32"/>
        </w:rPr>
      </w:pPr>
      <w:r w:rsidRPr="006911E7">
        <w:rPr>
          <w:b/>
          <w:sz w:val="32"/>
          <w:szCs w:val="32"/>
        </w:rPr>
        <w:lastRenderedPageBreak/>
        <w:t>Possible Sources of Errors:</w:t>
      </w:r>
    </w:p>
    <w:p w:rsidR="00603118" w:rsidRPr="006911E7" w:rsidRDefault="00603118" w:rsidP="00603118">
      <w:pPr>
        <w:rPr>
          <w:b/>
          <w:sz w:val="32"/>
          <w:szCs w:val="32"/>
        </w:rPr>
      </w:pPr>
      <w:r>
        <w:t>- Everyone</w:t>
      </w:r>
      <w:r w:rsidR="006911E7">
        <w:t>’</w:t>
      </w:r>
      <w:r>
        <w:t>s eyes are different, a frequency at which one person might observe blinking, someone else might see continuous light</w:t>
      </w:r>
      <w:r w:rsidR="006911E7">
        <w:t>.</w:t>
      </w:r>
    </w:p>
    <w:p w:rsidR="00603118" w:rsidRDefault="00603118" w:rsidP="00603118">
      <w:r>
        <w:t>- Our measurement of the intensity of light was purely qualitative, we had no instruments to take proper readings</w:t>
      </w:r>
      <w:r w:rsidR="006911E7">
        <w:t>.</w:t>
      </w:r>
    </w:p>
    <w:p w:rsidR="00603118" w:rsidRDefault="006911E7" w:rsidP="00603118">
      <w:r>
        <w:t>- Our measurement of the number of operations to make up one</w:t>
      </w:r>
      <w:r w:rsidR="00603118">
        <w:t xml:space="preserve"> second in our code was approximate and not exact.</w:t>
      </w:r>
    </w:p>
    <w:p w:rsidR="00603118" w:rsidRDefault="00603118" w:rsidP="00603118"/>
    <w:p w:rsidR="00603118" w:rsidRPr="006911E7" w:rsidRDefault="006911E7" w:rsidP="006031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:rsidR="00603118" w:rsidRDefault="006911E7">
      <w:r>
        <w:tab/>
        <w:t>Overall this lab helped us get used to</w:t>
      </w:r>
      <w:r w:rsidR="00603118">
        <w:t xml:space="preserve"> the XILINX FPGA &amp; SDK, which in of itself is great. W</w:t>
      </w:r>
      <w:r>
        <w:t>e found that changing the duty c</w:t>
      </w:r>
      <w:r w:rsidR="00603118">
        <w:t>ycle</w:t>
      </w:r>
      <w:r>
        <w:t xml:space="preserve"> </w:t>
      </w:r>
      <w:r w:rsidR="00603118">
        <w:t>of a discrete operation can have a great effect on the frequency at which it needs to operate to be observed as continuous. We also found out</w:t>
      </w:r>
      <w:r>
        <w:t xml:space="preserve"> </w:t>
      </w:r>
      <w:r w:rsidR="00603118">
        <w:t>at which frequency's the human eye can and cannot distinguish. We</w:t>
      </w:r>
      <w:r>
        <w:t xml:space="preserve"> also found that modifying the duty c</w:t>
      </w:r>
      <w:r w:rsidR="00603118">
        <w:t xml:space="preserve">ycle can </w:t>
      </w:r>
      <w:r>
        <w:t>influence</w:t>
      </w:r>
      <w:r w:rsidR="00603118">
        <w:t xml:space="preserve"> the intensity of an</w:t>
      </w:r>
      <w:r>
        <w:t xml:space="preserve"> </w:t>
      </w:r>
      <w:r w:rsidR="00603118">
        <w:t>operation. Most of what we have looked at here can be applied to other systems, like the frequency and duty cycle of a car engine in operation.</w:t>
      </w:r>
      <w:r>
        <w:t xml:space="preserve"> Overall modifying f</w:t>
      </w:r>
      <w:r w:rsidR="00DE7975">
        <w:t>requency or d</w:t>
      </w:r>
      <w:r w:rsidR="00603118">
        <w:t>uty cycle provides you the ability to fine tune systems.</w:t>
      </w:r>
      <w:bookmarkStart w:id="0" w:name="_GoBack"/>
      <w:bookmarkEnd w:id="0"/>
    </w:p>
    <w:sectPr w:rsidR="0060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18"/>
    <w:rsid w:val="00146B7A"/>
    <w:rsid w:val="005B4A09"/>
    <w:rsid w:val="00603118"/>
    <w:rsid w:val="006911E7"/>
    <w:rsid w:val="006F1E60"/>
    <w:rsid w:val="008C4438"/>
    <w:rsid w:val="00AA171C"/>
    <w:rsid w:val="00DC73DE"/>
    <w:rsid w:val="00DE7975"/>
    <w:rsid w:val="00E72672"/>
    <w:rsid w:val="00F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D056"/>
  <w15:chartTrackingRefBased/>
  <w15:docId w15:val="{3459CA4E-D12C-4D8B-BB1D-FE38038C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1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Y\Desktop\New%20WinRAR%20ZIP%20archive\Lab4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Y\Desktop\New%20WinRAR%20ZIP%20archive\Lab4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Y\Desktop\New%20WinRAR%20ZIP%20archive\Lab4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Duty Cycle vs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[Lab4Data.xlsx]Sheet1!$A$2:$A$28</c:f>
              <c:numCache>
                <c:formatCode>0%</c:formatCode>
                <c:ptCount val="27"/>
                <c:pt idx="0">
                  <c:v>0.99</c:v>
                </c:pt>
                <c:pt idx="1">
                  <c:v>0.96599999999999997</c:v>
                </c:pt>
                <c:pt idx="2">
                  <c:v>0.95</c:v>
                </c:pt>
                <c:pt idx="3">
                  <c:v>0.9</c:v>
                </c:pt>
                <c:pt idx="4">
                  <c:v>0.88</c:v>
                </c:pt>
                <c:pt idx="5">
                  <c:v>0.85</c:v>
                </c:pt>
                <c:pt idx="6">
                  <c:v>0.8</c:v>
                </c:pt>
                <c:pt idx="7">
                  <c:v>0.75</c:v>
                </c:pt>
                <c:pt idx="8">
                  <c:v>0.7</c:v>
                </c:pt>
                <c:pt idx="9">
                  <c:v>0.65</c:v>
                </c:pt>
                <c:pt idx="10">
                  <c:v>0.63</c:v>
                </c:pt>
                <c:pt idx="11">
                  <c:v>0.6</c:v>
                </c:pt>
                <c:pt idx="12">
                  <c:v>0.55000000000000004</c:v>
                </c:pt>
                <c:pt idx="13">
                  <c:v>0.5</c:v>
                </c:pt>
                <c:pt idx="14">
                  <c:v>0.45</c:v>
                </c:pt>
                <c:pt idx="15">
                  <c:v>0.4</c:v>
                </c:pt>
                <c:pt idx="16">
                  <c:v>0.37</c:v>
                </c:pt>
                <c:pt idx="17">
                  <c:v>0.35</c:v>
                </c:pt>
                <c:pt idx="18">
                  <c:v>0.3</c:v>
                </c:pt>
                <c:pt idx="19">
                  <c:v>0.25</c:v>
                </c:pt>
                <c:pt idx="20">
                  <c:v>0.2</c:v>
                </c:pt>
                <c:pt idx="21">
                  <c:v>0.15</c:v>
                </c:pt>
                <c:pt idx="22">
                  <c:v>0.12</c:v>
                </c:pt>
                <c:pt idx="23">
                  <c:v>0.1</c:v>
                </c:pt>
                <c:pt idx="24">
                  <c:v>0.05</c:v>
                </c:pt>
                <c:pt idx="25">
                  <c:v>0.03</c:v>
                </c:pt>
                <c:pt idx="26">
                  <c:v>0.01</c:v>
                </c:pt>
              </c:numCache>
            </c:numRef>
          </c:xVal>
          <c:yVal>
            <c:numRef>
              <c:f>[Lab4Data.xlsx]Sheet1!$C$2:$C$28</c:f>
              <c:numCache>
                <c:formatCode>General</c:formatCode>
                <c:ptCount val="27"/>
                <c:pt idx="0">
                  <c:v>5</c:v>
                </c:pt>
                <c:pt idx="1">
                  <c:v>10</c:v>
                </c:pt>
                <c:pt idx="2">
                  <c:v>14</c:v>
                </c:pt>
                <c:pt idx="3">
                  <c:v>22</c:v>
                </c:pt>
                <c:pt idx="4">
                  <c:v>24</c:v>
                </c:pt>
                <c:pt idx="5">
                  <c:v>26</c:v>
                </c:pt>
                <c:pt idx="6">
                  <c:v>28</c:v>
                </c:pt>
                <c:pt idx="7">
                  <c:v>30</c:v>
                </c:pt>
                <c:pt idx="8">
                  <c:v>32</c:v>
                </c:pt>
                <c:pt idx="9">
                  <c:v>34</c:v>
                </c:pt>
                <c:pt idx="10">
                  <c:v>35</c:v>
                </c:pt>
                <c:pt idx="11">
                  <c:v>36</c:v>
                </c:pt>
                <c:pt idx="12">
                  <c:v>37</c:v>
                </c:pt>
                <c:pt idx="13">
                  <c:v>38</c:v>
                </c:pt>
                <c:pt idx="14">
                  <c:v>39</c:v>
                </c:pt>
                <c:pt idx="15">
                  <c:v>39</c:v>
                </c:pt>
                <c:pt idx="16">
                  <c:v>39.5</c:v>
                </c:pt>
                <c:pt idx="17">
                  <c:v>39.5</c:v>
                </c:pt>
                <c:pt idx="18">
                  <c:v>39.700000000000003</c:v>
                </c:pt>
                <c:pt idx="19">
                  <c:v>39.799999999999997</c:v>
                </c:pt>
                <c:pt idx="20">
                  <c:v>39.799999999999997</c:v>
                </c:pt>
                <c:pt idx="21">
                  <c:v>39.85</c:v>
                </c:pt>
                <c:pt idx="22">
                  <c:v>39.85</c:v>
                </c:pt>
                <c:pt idx="23">
                  <c:v>39.9</c:v>
                </c:pt>
                <c:pt idx="24">
                  <c:v>39.9</c:v>
                </c:pt>
                <c:pt idx="25">
                  <c:v>39.950000000000003</c:v>
                </c:pt>
                <c:pt idx="26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AE-4C55-8248-D5EF07586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666064"/>
        <c:axId val="454665672"/>
      </c:scatterChart>
      <c:valAx>
        <c:axId val="45466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Duty Cycle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65672"/>
        <c:crosses val="autoZero"/>
        <c:crossBetween val="midCat"/>
      </c:valAx>
      <c:valAx>
        <c:axId val="45466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6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Duty</a:t>
            </a:r>
            <a:r>
              <a:rPr lang="en-US" baseline="0"/>
              <a:t> Cycle VS Light Intensity (x axis on logarithmic scale)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[Lab4Data.xlsx]Sheet1!$A$38:$A$58</c:f>
              <c:numCache>
                <c:formatCode>0.00%</c:formatCode>
                <c:ptCount val="21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0.5</c:v>
                </c:pt>
                <c:pt idx="4">
                  <c:v>0.45</c:v>
                </c:pt>
                <c:pt idx="5">
                  <c:v>0.4</c:v>
                </c:pt>
                <c:pt idx="6">
                  <c:v>0.3</c:v>
                </c:pt>
                <c:pt idx="7">
                  <c:v>0.25</c:v>
                </c:pt>
                <c:pt idx="8">
                  <c:v>0.2</c:v>
                </c:pt>
                <c:pt idx="9">
                  <c:v>0.15</c:v>
                </c:pt>
                <c:pt idx="10">
                  <c:v>0.125</c:v>
                </c:pt>
                <c:pt idx="11">
                  <c:v>0.1</c:v>
                </c:pt>
                <c:pt idx="12">
                  <c:v>7.4999999999999997E-2</c:v>
                </c:pt>
                <c:pt idx="13">
                  <c:v>0.05</c:v>
                </c:pt>
                <c:pt idx="14">
                  <c:v>3.3300000000000003E-2</c:v>
                </c:pt>
                <c:pt idx="15">
                  <c:v>0.02</c:v>
                </c:pt>
                <c:pt idx="16">
                  <c:v>0.01</c:v>
                </c:pt>
                <c:pt idx="17">
                  <c:v>5.0000000000000001E-3</c:v>
                </c:pt>
                <c:pt idx="18">
                  <c:v>2.5000000000000001E-3</c:v>
                </c:pt>
                <c:pt idx="19">
                  <c:v>1E-3</c:v>
                </c:pt>
                <c:pt idx="20">
                  <c:v>1E-4</c:v>
                </c:pt>
              </c:numCache>
            </c:numRef>
          </c:xVal>
          <c:yVal>
            <c:numRef>
              <c:f>[Lab4Data.xlsx]Sheet1!$B$38:$B$58</c:f>
              <c:numCache>
                <c:formatCode>General</c:formatCode>
                <c:ptCount val="2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E7-4291-A813-A6BEE5FCF230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[Lab4Data.xlsx]Sheet1!$A$38:$A$58</c:f>
              <c:numCache>
                <c:formatCode>0.00%</c:formatCode>
                <c:ptCount val="21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0.5</c:v>
                </c:pt>
                <c:pt idx="4">
                  <c:v>0.45</c:v>
                </c:pt>
                <c:pt idx="5">
                  <c:v>0.4</c:v>
                </c:pt>
                <c:pt idx="6">
                  <c:v>0.3</c:v>
                </c:pt>
                <c:pt idx="7">
                  <c:v>0.25</c:v>
                </c:pt>
                <c:pt idx="8">
                  <c:v>0.2</c:v>
                </c:pt>
                <c:pt idx="9">
                  <c:v>0.15</c:v>
                </c:pt>
                <c:pt idx="10">
                  <c:v>0.125</c:v>
                </c:pt>
                <c:pt idx="11">
                  <c:v>0.1</c:v>
                </c:pt>
                <c:pt idx="12">
                  <c:v>7.4999999999999997E-2</c:v>
                </c:pt>
                <c:pt idx="13">
                  <c:v>0.05</c:v>
                </c:pt>
                <c:pt idx="14">
                  <c:v>3.3300000000000003E-2</c:v>
                </c:pt>
                <c:pt idx="15">
                  <c:v>0.02</c:v>
                </c:pt>
                <c:pt idx="16">
                  <c:v>0.01</c:v>
                </c:pt>
                <c:pt idx="17">
                  <c:v>5.0000000000000001E-3</c:v>
                </c:pt>
                <c:pt idx="18">
                  <c:v>2.5000000000000001E-3</c:v>
                </c:pt>
                <c:pt idx="19">
                  <c:v>1E-3</c:v>
                </c:pt>
                <c:pt idx="20">
                  <c:v>1E-4</c:v>
                </c:pt>
              </c:numCache>
            </c:numRef>
          </c:xVal>
          <c:yVal>
            <c:numRef>
              <c:f>[Lab4Data.xlsx]Sheet1!$C$38:$C$58</c:f>
              <c:numCache>
                <c:formatCode>0.000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0.97499999999999998</c:v>
                </c:pt>
                <c:pt idx="5">
                  <c:v>0.95</c:v>
                </c:pt>
                <c:pt idx="6">
                  <c:v>0.87</c:v>
                </c:pt>
                <c:pt idx="7">
                  <c:v>0.8</c:v>
                </c:pt>
                <c:pt idx="8">
                  <c:v>0.65</c:v>
                </c:pt>
                <c:pt idx="9">
                  <c:v>0.5</c:v>
                </c:pt>
                <c:pt idx="10">
                  <c:v>0.45</c:v>
                </c:pt>
                <c:pt idx="11">
                  <c:v>0.38</c:v>
                </c:pt>
                <c:pt idx="12">
                  <c:v>0.3</c:v>
                </c:pt>
                <c:pt idx="13">
                  <c:v>0.25</c:v>
                </c:pt>
                <c:pt idx="14">
                  <c:v>0.2</c:v>
                </c:pt>
                <c:pt idx="15">
                  <c:v>0.125</c:v>
                </c:pt>
                <c:pt idx="16">
                  <c:v>0.1</c:v>
                </c:pt>
                <c:pt idx="17">
                  <c:v>7.4999999999999997E-2</c:v>
                </c:pt>
                <c:pt idx="18">
                  <c:v>0.06</c:v>
                </c:pt>
                <c:pt idx="19">
                  <c:v>0.05</c:v>
                </c:pt>
                <c:pt idx="20">
                  <c:v>8.9999999999999993E-3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E7-4291-A813-A6BEE5FCF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739928"/>
        <c:axId val="454738752"/>
      </c:scatterChart>
      <c:valAx>
        <c:axId val="4547399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Duty</a:t>
                </a:r>
                <a:r>
                  <a:rPr lang="en-US" baseline="0"/>
                  <a:t> Cycle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38752"/>
        <c:crosses val="autoZero"/>
        <c:crossBetween val="midCat"/>
      </c:valAx>
      <c:valAx>
        <c:axId val="4547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</a:t>
                </a:r>
                <a:r>
                  <a:rPr lang="en-US" baseline="0"/>
                  <a:t> Intesity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739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Duty</a:t>
            </a:r>
            <a:r>
              <a:rPr lang="en-US" baseline="0"/>
              <a:t> Cycle VS Light Intensity (Normal)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[Lab4Data.xlsx]Sheet1!$A$38:$A$58</c:f>
              <c:numCache>
                <c:formatCode>0.00%</c:formatCode>
                <c:ptCount val="21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0.5</c:v>
                </c:pt>
                <c:pt idx="4">
                  <c:v>0.45</c:v>
                </c:pt>
                <c:pt idx="5">
                  <c:v>0.4</c:v>
                </c:pt>
                <c:pt idx="6">
                  <c:v>0.3</c:v>
                </c:pt>
                <c:pt idx="7">
                  <c:v>0.25</c:v>
                </c:pt>
                <c:pt idx="8">
                  <c:v>0.2</c:v>
                </c:pt>
                <c:pt idx="9">
                  <c:v>0.15</c:v>
                </c:pt>
                <c:pt idx="10">
                  <c:v>0.125</c:v>
                </c:pt>
                <c:pt idx="11">
                  <c:v>0.1</c:v>
                </c:pt>
                <c:pt idx="12">
                  <c:v>7.4999999999999997E-2</c:v>
                </c:pt>
                <c:pt idx="13">
                  <c:v>0.05</c:v>
                </c:pt>
                <c:pt idx="14">
                  <c:v>3.3300000000000003E-2</c:v>
                </c:pt>
                <c:pt idx="15">
                  <c:v>0.02</c:v>
                </c:pt>
                <c:pt idx="16">
                  <c:v>0.01</c:v>
                </c:pt>
                <c:pt idx="17">
                  <c:v>5.0000000000000001E-3</c:v>
                </c:pt>
                <c:pt idx="18">
                  <c:v>2.5000000000000001E-3</c:v>
                </c:pt>
                <c:pt idx="19">
                  <c:v>1E-3</c:v>
                </c:pt>
                <c:pt idx="20">
                  <c:v>1E-4</c:v>
                </c:pt>
              </c:numCache>
            </c:numRef>
          </c:xVal>
          <c:yVal>
            <c:numRef>
              <c:f>[Lab4Data.xlsx]Sheet1!$B$38:$B$58</c:f>
              <c:numCache>
                <c:formatCode>General</c:formatCode>
                <c:ptCount val="2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9E-44B6-98D6-701CAF419CF0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[Lab4Data.xlsx]Sheet1!$A$38:$A$58</c:f>
              <c:numCache>
                <c:formatCode>0.00%</c:formatCode>
                <c:ptCount val="21"/>
                <c:pt idx="0">
                  <c:v>1</c:v>
                </c:pt>
                <c:pt idx="1">
                  <c:v>0.8</c:v>
                </c:pt>
                <c:pt idx="2">
                  <c:v>0.6</c:v>
                </c:pt>
                <c:pt idx="3">
                  <c:v>0.5</c:v>
                </c:pt>
                <c:pt idx="4">
                  <c:v>0.45</c:v>
                </c:pt>
                <c:pt idx="5">
                  <c:v>0.4</c:v>
                </c:pt>
                <c:pt idx="6">
                  <c:v>0.3</c:v>
                </c:pt>
                <c:pt idx="7">
                  <c:v>0.25</c:v>
                </c:pt>
                <c:pt idx="8">
                  <c:v>0.2</c:v>
                </c:pt>
                <c:pt idx="9">
                  <c:v>0.15</c:v>
                </c:pt>
                <c:pt idx="10">
                  <c:v>0.125</c:v>
                </c:pt>
                <c:pt idx="11">
                  <c:v>0.1</c:v>
                </c:pt>
                <c:pt idx="12">
                  <c:v>7.4999999999999997E-2</c:v>
                </c:pt>
                <c:pt idx="13">
                  <c:v>0.05</c:v>
                </c:pt>
                <c:pt idx="14">
                  <c:v>3.3300000000000003E-2</c:v>
                </c:pt>
                <c:pt idx="15">
                  <c:v>0.02</c:v>
                </c:pt>
                <c:pt idx="16">
                  <c:v>0.01</c:v>
                </c:pt>
                <c:pt idx="17">
                  <c:v>5.0000000000000001E-3</c:v>
                </c:pt>
                <c:pt idx="18">
                  <c:v>2.5000000000000001E-3</c:v>
                </c:pt>
                <c:pt idx="19">
                  <c:v>1E-3</c:v>
                </c:pt>
                <c:pt idx="20">
                  <c:v>1E-4</c:v>
                </c:pt>
              </c:numCache>
            </c:numRef>
          </c:xVal>
          <c:yVal>
            <c:numRef>
              <c:f>[Lab4Data.xlsx]Sheet1!$C$38:$C$58</c:f>
              <c:numCache>
                <c:formatCode>0.000</c:formatCode>
                <c:ptCount val="2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0.97499999999999998</c:v>
                </c:pt>
                <c:pt idx="5">
                  <c:v>0.95</c:v>
                </c:pt>
                <c:pt idx="6">
                  <c:v>0.87</c:v>
                </c:pt>
                <c:pt idx="7">
                  <c:v>0.8</c:v>
                </c:pt>
                <c:pt idx="8">
                  <c:v>0.65</c:v>
                </c:pt>
                <c:pt idx="9">
                  <c:v>0.5</c:v>
                </c:pt>
                <c:pt idx="10">
                  <c:v>0.45</c:v>
                </c:pt>
                <c:pt idx="11">
                  <c:v>0.38</c:v>
                </c:pt>
                <c:pt idx="12">
                  <c:v>0.3</c:v>
                </c:pt>
                <c:pt idx="13">
                  <c:v>0.25</c:v>
                </c:pt>
                <c:pt idx="14">
                  <c:v>0.2</c:v>
                </c:pt>
                <c:pt idx="15">
                  <c:v>0.125</c:v>
                </c:pt>
                <c:pt idx="16">
                  <c:v>0.1</c:v>
                </c:pt>
                <c:pt idx="17">
                  <c:v>7.4999999999999997E-2</c:v>
                </c:pt>
                <c:pt idx="18">
                  <c:v>0.06</c:v>
                </c:pt>
                <c:pt idx="19">
                  <c:v>0.05</c:v>
                </c:pt>
                <c:pt idx="20">
                  <c:v>8.9999999999999993E-3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9E-44B6-98D6-701CAF419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60872"/>
        <c:axId val="454666848"/>
      </c:scatterChart>
      <c:valAx>
        <c:axId val="20476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Duty</a:t>
                </a:r>
                <a:r>
                  <a:rPr lang="en-US" baseline="0"/>
                  <a:t> Cycle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666848"/>
        <c:crosses val="autoZero"/>
        <c:crossBetween val="midCat"/>
      </c:valAx>
      <c:valAx>
        <c:axId val="45466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Light</a:t>
                </a:r>
                <a:r>
                  <a:rPr lang="en-US" baseline="0"/>
                  <a:t> Intensity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60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Yang</dc:creator>
  <cp:keywords/>
  <dc:description/>
  <cp:lastModifiedBy>Johnston Yang</cp:lastModifiedBy>
  <cp:revision>2</cp:revision>
  <dcterms:created xsi:type="dcterms:W3CDTF">2018-06-19T03:56:00Z</dcterms:created>
  <dcterms:modified xsi:type="dcterms:W3CDTF">2018-06-19T03:56:00Z</dcterms:modified>
</cp:coreProperties>
</file>