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Traffic Simulation Artifact</w:t>
      </w:r>
    </w:p>
    <w:p>
      <w:pPr>
        <w:pStyle w:val="Subtitle"/>
      </w:pPr>
      <w:r>
        <w:t>Group 5 submission guide and execution evidence</w:t>
      </w:r>
    </w:p>
    <w:p>
      <w:pPr>
        <w:pStyle w:val="Heading1"/>
      </w:pPr>
      <w:r>
        <w:t>Purpose and current status</w:t>
      </w:r>
    </w:p>
    <w:p>
      <w:r>
        <w:t>The Python artifact runs an annual 2025-2035 AADT scenario for 20 Metro Manila roads and prints risk results in the terminal. It validates the dataset, converts vehicle counts to PCU, advances road state, applies a Random Forest classifier, and exports CSV results. The central result is a per-road Low, Medium, or High threshold risk for the selected year. Road capacity is synthetic, so the output is a scenario exercise.</w:t>
      </w:r>
    </w:p>
    <w:p>
      <w:pPr>
        <w:pStyle w:val="Heading1"/>
      </w:pPr>
      <w:r>
        <w:t>Submission file inventory</w:t>
      </w:r>
    </w:p>
    <w:tbl>
      <w:tblPr>
        <w:tblW w:type="auto" w:w="0"/>
        <w:jc w:val="center"/>
        <w:tblLayout w:type="fixed"/>
        <w:tblLook w:firstColumn="1" w:firstRow="1" w:lastColumn="0" w:lastRow="0" w:noHBand="0" w:noVBand="1" w:val="04A0"/>
      </w:tblPr>
      <w:tblGrid>
        <w:gridCol w:w="4939"/>
        <w:gridCol w:w="4939"/>
      </w:tblGrid>
      <w:tr>
        <w:trPr>
          <w:tblHeader/>
        </w:trPr>
        <w:tc>
          <w:tcPr>
            <w:tcW w:type="dxa" w:w="3888"/>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File</w:t>
            </w:r>
          </w:p>
        </w:tc>
        <w:tc>
          <w:tcPr>
            <w:tcW w:type="dxa" w:w="5616"/>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Purpose</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run_simulation.py</w:t>
            </w:r>
          </w:p>
        </w:tc>
        <w:tc>
          <w:tcPr>
            <w:tcW w:type="dxa" w:w="56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Interactive terminal entry point: prompts, selected-year summary, risk display, CSV export</w:t>
            </w:r>
          </w:p>
        </w:tc>
      </w:tr>
      <w:tr>
        <w:tc>
          <w:tcPr>
            <w:tcW w:type="dxa" w:w="388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aadt_model.py</w:t>
            </w:r>
          </w:p>
        </w:tc>
        <w:tc>
          <w:tcPr>
            <w:tcW w:type="dxa" w:w="561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Data validation, PCU conversion, Random Forest evaluation, annual scenario engine</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python_source_code.pdf</w:t>
            </w:r>
          </w:p>
        </w:tc>
        <w:tc>
          <w:tcPr>
            <w:tcW w:type="dxa" w:w="56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Readable PDF copy of both Python source files</w:t>
            </w:r>
          </w:p>
        </w:tc>
      </w:tr>
      <w:tr>
        <w:tc>
          <w:tcPr>
            <w:tcW w:type="dxa" w:w="388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metro_manila_aadt_simulation_input_2020_2025.csv</w:t>
            </w:r>
          </w:p>
        </w:tc>
        <w:tc>
          <w:tcPr>
            <w:tcW w:type="dxa" w:w="561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Required historical dataset, 120 road-year rows</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requirements-cli.txt</w:t>
            </w:r>
          </w:p>
        </w:tc>
        <w:tc>
          <w:tcPr>
            <w:tcW w:type="dxa" w:w="56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Terminal dependencies: NumPy, pandas, SciPy, scikit-learn</w:t>
            </w:r>
          </w:p>
        </w:tc>
      </w:tr>
      <w:tr>
        <w:tc>
          <w:tcPr>
            <w:tcW w:type="dxa" w:w="388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README.md</w:t>
            </w:r>
          </w:p>
        </w:tc>
        <w:tc>
          <w:tcPr>
            <w:tcW w:type="dxa" w:w="561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Run instructions and scenario descriptions</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sample_road_year_forecast.csv</w:t>
            </w:r>
          </w:p>
        </w:tc>
        <w:tc>
          <w:tcPr>
            <w:tcW w:type="dxa" w:w="56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Sample output from four predefined scenarios</w:t>
            </w:r>
          </w:p>
        </w:tc>
      </w:tr>
      <w:tr>
        <w:tc>
          <w:tcPr>
            <w:tcW w:type="dxa" w:w="3888"/>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sample_2035_summary.csv</w:t>
            </w:r>
          </w:p>
        </w:tc>
        <w:tc>
          <w:tcPr>
            <w:tcW w:type="dxa" w:w="561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Compact sample 2035 output</w:t>
            </w:r>
          </w:p>
        </w:tc>
      </w:tr>
    </w:tbl>
    <w:p/>
    <w:p>
      <w:pPr>
        <w:pStyle w:val="Heading1"/>
      </w:pPr>
      <w:r>
        <w:t>How to run the terminal simulation</w:t>
      </w:r>
    </w:p>
    <w:p>
      <w:r>
        <w:t>Open PowerShell in the project folder. Use Python 3.12 for the scientific Python wheels used by this project. Run these commands in order:</w:t>
      </w:r>
    </w:p>
    <w:p>
      <w:r>
        <w:rPr>
          <w:rFonts w:ascii="Consolas" w:hAnsi="Consolas"/>
          <w:sz w:val="18"/>
        </w:rPr>
        <w:t>py -3.12 -m venv .venv</w:t>
      </w:r>
    </w:p>
    <w:p>
      <w:r>
        <w:rPr>
          <w:rFonts w:ascii="Consolas" w:hAnsi="Consolas"/>
          <w:sz w:val="18"/>
        </w:rPr>
        <w:t>.\.venv\Scripts\python -m pip install -r requirements-cli.txt</w:t>
      </w:r>
    </w:p>
    <w:p>
      <w:r>
        <w:rPr>
          <w:rFonts w:ascii="Consolas" w:hAnsi="Consolas"/>
          <w:sz w:val="18"/>
        </w:rPr>
        <w:t>.\.venv\Scripts\python run_simulation.py</w:t>
      </w:r>
    </w:p>
    <w:p>
      <w:r>
        <w:t>The program asks for scenario 1-6. Option 6 shows a sensitivity comparison for the four predefined scenarios at 2025, 2030, and 2035. Options 1-5 then ask for a year from 2025 through 2035; pressing Enter selects 2035. After a scenario result, answer y to export the entire scenario to outputs/terminal/&lt;scenario&gt;/ or n to return to the menu. Enter 0 at the menu to quit. If an existing environment was created with Python 3.14, recreate .venv with the Python 3.12 command above; this avoids the Windows SciPy DLL import error shown by scikit-learn.</w:t>
      </w:r>
    </w:p>
    <w:p>
      <w:pPr>
        <w:pStyle w:val="Heading1"/>
      </w:pPr>
      <w:r>
        <w:t>Core workflow and state updates</w:t>
      </w:r>
    </w:p>
    <w:p>
      <w:pPr>
        <w:pStyle w:val="ListBullet"/>
      </w:pPr>
      <w:r>
        <w:t>Load the 2020-2025 CSV and check its columns, road-year coverage, counts, and capacities.</w:t>
      </w:r>
    </w:p>
    <w:p>
      <w:pPr>
        <w:pStyle w:val="ListBullet"/>
      </w:pPr>
      <w:r>
        <w:t>Recompute daily PCU from nine vehicle classes and the supplied PCEF values.</w:t>
      </w:r>
    </w:p>
    <w:p>
      <w:pPr>
        <w:pStyle w:val="ListBullet"/>
      </w:pPr>
      <w:r>
        <w:t>Train the Random Forest on 2020-2023 and show its 2024-2025 holdout evaluation.</w:t>
      </w:r>
    </w:p>
    <w:p>
      <w:pPr>
        <w:pStyle w:val="ListBullet"/>
      </w:pPr>
      <w:r>
        <w:t>Initialize each road from its 2025 counts, PCU volume, and synthetic capacity.</w:t>
      </w:r>
    </w:p>
    <w:p>
      <w:pPr>
        <w:pStyle w:val="ListBullet"/>
      </w:pPr>
      <w:r>
        <w:t>For 2026-2035, apply the chosen annual growth and intervention assumptions, then recompute PCU and V/C.</w:t>
      </w:r>
    </w:p>
    <w:p>
      <w:pPr>
        <w:pStyle w:val="ListBullet"/>
      </w:pPr>
      <w:r>
        <w:t>Calculate direct threshold risk, collect the separate Random Forest risk, and record the first High year.</w:t>
      </w:r>
    </w:p>
    <w:p>
      <w:pPr>
        <w:pStyle w:val="ListBullet"/>
      </w:pPr>
      <w:r>
        <w:t>Display the selected-year risk box and optionally export the full annual result table.</w:t>
      </w:r>
    </w:p>
    <w:p>
      <w:pPr>
        <w:pStyle w:val="ListBullet"/>
      </w:pPr>
      <w:r>
        <w:t>Compare predefined scenarios at three milestone years as a sensitivity view; this is not a probability forecast.</w:t>
      </w:r>
    </w:p>
    <w:p>
      <w:r>
        <w:t>The stored state includes Year, per-class vehicle counts, Road_PCU_Volume, Capacity_Limit, Risk_Level, RF_Risk_Level, and First_High_Year. The 2025 row is retained as baseline; the first growth step occurs in 2026. The terminal group's selected-year alert is the maximum per-road threshold risk, with class counts shown to avoid implying every road has the same label.</w:t>
      </w:r>
    </w:p>
    <w:p>
      <w:pPr>
        <w:pStyle w:val="Heading1"/>
      </w:pPr>
      <w:r>
        <w:t>AI component and scenario demonstration</w:t>
      </w:r>
    </w:p>
    <w:p>
      <w:r>
        <w:t>The Random Forest has 300 trees, maximum depth 8, minimum leaf size 2, balanced class weights, and random seed 42. It consumes PCU volume, capacity, year, road type, and vehicle-class shares. On the 2024-2025 holdout it matched 72.5% of derived risk labels (29/40); macro F1 was 72.1%. Because its labels are based on the same PCU/capacity inputs, this is not independent traffic prediction. The terminal shows AI risk beside the direct threshold risk and counts disagreements.</w:t>
      </w:r>
    </w:p>
    <w:p>
      <w:r>
        <w:t>Scenario 1 is an executable baseline with 4.5% compounded annual class growth and fixed capacity. Additional terminal choices run 7% growth, a 20% car-to-bus transfer using one added bus per 40 shifted cars, a 20% synthetic capacity increase on EDSA and C-5 from 2028, or a custom annual growth percentage. These are illustrative experiments, not observed interventions.</w:t>
      </w:r>
    </w:p>
    <w:p>
      <w:pPr>
        <w:pStyle w:val="Heading1"/>
      </w:pPr>
      <w:r>
        <w:t>Sample output and how to read it</w:t>
      </w:r>
    </w:p>
    <w:p>
      <w:r>
        <w:t>A baseline run for 2026 displays a High group alert because 5 of 20 roads are High, 12 Medium, and 3 Low. The group alert uses the highest road risk. The road table shows the supplied 2025 raw vehicle count, calculated 2025 PCU, projected 2026 PCU, percentage of assumed capacity used, direct risk, AI risk, and first High year. The CSV exports include one row per road per year.</w:t>
      </w:r>
    </w:p>
    <w:tbl>
      <w:tblPr>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3600"/>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Road in 2026 baseline</w:t>
            </w:r>
          </w:p>
        </w:tc>
        <w:tc>
          <w:tcPr>
            <w:tcW w:type="dxa" w:w="1872"/>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Capacity used</w:t>
            </w:r>
          </w:p>
        </w:tc>
        <w:tc>
          <w:tcPr>
            <w:tcW w:type="dxa" w:w="2016"/>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Threshold risk</w:t>
            </w:r>
          </w:p>
        </w:tc>
        <w:tc>
          <w:tcPr>
            <w:tcW w:type="dxa" w:w="2016"/>
            <w:vAlign w:val="center"/>
            <w:tcBorders>
              <w:top w:val="single" w:sz="4" w:color="D9D9D9"/>
              <w:left w:val="single" w:sz="4" w:color="D9D9D9"/>
              <w:bottom w:val="single" w:sz="4" w:color="D9D9D9"/>
              <w:right w:val="single" w:sz="4" w:color="D9D9D9"/>
            </w:tcBorders>
            <w:shd w:fill="DCE8F1"/>
          </w:tcPr>
          <w:p>
            <w:pPr>
              <w:spacing w:after="40" w:before="40"/>
            </w:pPr>
            <w:r>
              <w:rPr>
                <w:rFonts w:ascii="Aptos" w:hAnsi="Aptos"/>
                <w:b/>
                <w:sz w:val="17"/>
              </w:rPr>
              <w:t>AI risk</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C-4 EDSA</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104.5%</w:t>
            </w:r>
          </w:p>
        </w:tc>
        <w:tc>
          <w:tcPr>
            <w:tcW w:type="dxa" w:w="20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High</w:t>
            </w:r>
          </w:p>
        </w:tc>
        <w:tc>
          <w:tcPr>
            <w:tcW w:type="dxa" w:w="20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High</w:t>
            </w:r>
          </w:p>
        </w:tc>
      </w:tr>
      <w:tr>
        <w:tc>
          <w:tcPr>
            <w:tcW w:type="dxa" w:w="3600"/>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R-7 Commonwealth</w:t>
            </w:r>
          </w:p>
        </w:tc>
        <w:tc>
          <w:tcPr>
            <w:tcW w:type="dxa" w:w="1872"/>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102.4%</w:t>
            </w:r>
          </w:p>
        </w:tc>
        <w:tc>
          <w:tcPr>
            <w:tcW w:type="dxa" w:w="201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High</w:t>
            </w:r>
          </w:p>
        </w:tc>
        <w:tc>
          <w:tcPr>
            <w:tcW w:type="dxa" w:w="2016"/>
            <w:vAlign w:val="center"/>
            <w:tcBorders>
              <w:top w:val="single" w:sz="4" w:color="D9D9D9"/>
              <w:left w:val="single" w:sz="4" w:color="D9D9D9"/>
              <w:bottom w:val="single" w:sz="4" w:color="D9D9D9"/>
              <w:right w:val="single" w:sz="4" w:color="D9D9D9"/>
            </w:tcBorders>
            <w:shd w:fill="F6F8FA"/>
          </w:tcPr>
          <w:p>
            <w:pPr>
              <w:spacing w:after="40" w:before="40"/>
            </w:pPr>
            <w:r>
              <w:rPr>
                <w:rFonts w:ascii="Aptos" w:hAnsi="Aptos"/>
                <w:sz w:val="17"/>
              </w:rPr>
              <w:t>High</w:t>
            </w:r>
          </w:p>
        </w:tc>
      </w:tr>
      <w:tr>
        <w:tc>
          <w:tcPr>
            <w:tcW w:type="dxa" w:w="3600"/>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R-3 SSH</w:t>
            </w:r>
          </w:p>
        </w:tc>
        <w:tc>
          <w:tcPr>
            <w:tcW w:type="dxa" w:w="1872"/>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100.3%</w:t>
            </w:r>
          </w:p>
        </w:tc>
        <w:tc>
          <w:tcPr>
            <w:tcW w:type="dxa" w:w="20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High</w:t>
            </w:r>
          </w:p>
        </w:tc>
        <w:tc>
          <w:tcPr>
            <w:tcW w:type="dxa" w:w="2016"/>
            <w:vAlign w:val="center"/>
            <w:tcBorders>
              <w:top w:val="single" w:sz="4" w:color="D9D9D9"/>
              <w:left w:val="single" w:sz="4" w:color="D9D9D9"/>
              <w:bottom w:val="single" w:sz="4" w:color="D9D9D9"/>
              <w:right w:val="single" w:sz="4" w:color="D9D9D9"/>
            </w:tcBorders>
            <w:shd w:fill="FFFFFF"/>
          </w:tcPr>
          <w:p>
            <w:pPr>
              <w:spacing w:after="40" w:before="40"/>
            </w:pPr>
            <w:r>
              <w:rPr>
                <w:rFonts w:ascii="Aptos" w:hAnsi="Aptos"/>
                <w:sz w:val="17"/>
              </w:rPr>
              <w:t>Medium</w:t>
            </w:r>
          </w:p>
        </w:tc>
      </w:tr>
    </w:tbl>
    <w:p/>
    <w:p>
      <w:r>
        <w:t>The R-3 SSH row illustrates why the two risk columns are separate: its V/C exceeds the High threshold while the forest returns Medium. The threshold label is the reported risk and controls the first High year. A 2025 baseline with V/C already at or above 0.95 can have First_High_Year = 2025.</w:t>
      </w:r>
    </w:p>
    <w:p>
      <w:pPr>
        <w:pStyle w:val="Heading1"/>
      </w:pPr>
      <w:r>
        <w:t>Validation and limitations</w:t>
      </w:r>
    </w:p>
    <w:p>
      <w:r>
        <w:t>The working run produced 220 rows per predefined scenario (20 roads multiplied by 11 years), without duplicate road-year combinations. Validation checks cover the 2025 baseline, compound growth, fixed baseline capacity, and exact threshold boundaries at 0.70 and 0.95. The 2025 risk distribution recomputed from full-precision PCU/capacity is 5 Low, 12 Medium, and 3 High. The stored CSV label for R-10 Del Pan differs because its displayed 0.70 ratio is rounded from 0.699999936.</w:t>
      </w:r>
    </w:p>
    <w:p>
      <w:r>
        <w:t>The AADT source rows and PCU factors remain unverified, capacity is synthetic, and yearly averages cannot describe peak congestion. The 4.5% growth rate and intervention mechanics are scenario assumptions. First High year is a conditional threshold crossing, not a certified road-failure date or a policy instruction.</w:t>
      </w:r>
    </w:p>
    <w:sectPr w:rsidR="00FC693F" w:rsidRPr="0006063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Group 5 | Metro Manila AADT simulation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