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Spectra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Business Meeting </w:t>
      </w:r>
      <w:r w:rsidDel="00000000" w:rsidR="00000000" w:rsidRPr="00000000">
        <w:rPr>
          <w:color w:val="666666"/>
          <w:rtl w:val="0"/>
        </w:rPr>
        <w:t xml:space="preserve">8/2020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 14 August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20</w:t>
      </w:r>
      <w:r w:rsidDel="00000000" w:rsidR="00000000" w:rsidRPr="00000000">
        <w:rPr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Noon-1:30PM PST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  <w:t xml:space="preserve">In-person: Mike Hill, Ron Buckmire, Alex Wiedemann, Doug Lind, Concha Gomez,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  <w:t xml:space="preserve">Absent: Alex Hoover, Lily Khadjavi, Andy Bernoff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  <w:t xml:space="preserve">Conspicuously Absent: David Crombecque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color w:val="e31c60"/>
          <w:sz w:val="22"/>
          <w:szCs w:val="22"/>
          <w:rtl w:val="0"/>
        </w:rPr>
        <w:t xml:space="preserve">Last Meeting Follow-up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to board &amp; continuations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Continuing Board Members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David Crombecque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Ron Buckmire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Concha Gomez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Mike Hill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Andrew Bernoff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Lily Khadjavi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Alex Wiedemann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Doug Lind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Chris Goff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Alex Hoover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Moon Duchin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Following-up on old JMM business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Mike wrote to the people (recently) who agreed to help with social media and the “Out in Math” profiles and posters. Awaiting a reply.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was a desire for more frequent, “local” Spectra events. We talked last meeting about Spectra “coffee hours” that people could drop in on and socialize via Zoom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Out to Innovate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Board positions (i.e co-chairs, etc) &amp; committees: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Secretary / archivist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External Affairs Chair: Websupport / Social Media / Publicity / Spokesperson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Membership / in-group outreach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President / Chairs with overlapping terms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Treasurer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Programming Chair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Social Chair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JMM Ideas for next year?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MAA At-Large Member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Expanding communication with Members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create newsletter or share board updates; 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see who is interested in drafting bylaws; 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supporting a mentoring program, etc.; 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involve a larger pool of people in Spectra actions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ageBreakBefore w:val="0"/>
        <w:rPr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ASA connection: 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Link to their page on the Spectra page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External Affairs person (who??) should reach out and connect with them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commentRangeStart w:id="0"/>
      <w:r w:rsidDel="00000000" w:rsidR="00000000" w:rsidRPr="00000000">
        <w:rPr>
          <w:color w:val="000000"/>
          <w:rtl w:val="0"/>
        </w:rPr>
        <w:t xml:space="preserve">Mike will write back to guy looking for various allies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Finalizing Board Positions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President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MAA Model: 1 year chair elect, 2 as chair, 1 year past chair (Doug), staggered so chair elect starts in year 2.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Treasurer: David 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Secretary/Archivist/Clerk: 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color w:val="000000"/>
        </w:rPr>
      </w:pPr>
      <w:r w:rsidDel="00000000" w:rsidR="00000000" w:rsidRPr="00000000">
        <w:rPr>
          <w:rtl w:val="0"/>
        </w:rPr>
        <w:t xml:space="preserve">It would be nice to collect archival materials, photos from events, etc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Needed for the inclusivity book for AMS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 Chair (Organize website, social media sites, etc, run the LGBTMath email backend, communicate with people, etc)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Meeting Chair (Keeping track of deadlines for panels, etc, and coordinating 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Chair (communicating and maintaining membership, polling, setting up social things)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At Large Members: 7+!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spacing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Other positions are 2 year positions?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Finalize board positions and figure out assigning / apportioning them: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Do we need a call for more members for now? 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How does the board look?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n Buckmire" w:id="0" w:date="2020-08-14T19:46:19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will write back to guy looking for various allies @michael.a.hill@gmail.com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Mike Hill_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noglstp.org/outtoinnovat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