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F12" w:rsidRDefault="00343F12" w:rsidP="00343F12">
      <w:pPr>
        <w:jc w:val="both"/>
        <w:rPr>
          <w:lang w:val="en-US"/>
        </w:rPr>
      </w:pPr>
      <w:r>
        <w:rPr>
          <w:lang w:val="en-US"/>
        </w:rPr>
        <w:t xml:space="preserve">Suplementary Material </w:t>
      </w:r>
    </w:p>
    <w:p w:rsidR="00343F12" w:rsidRPr="00DE6068" w:rsidRDefault="00343F12" w:rsidP="00343F12">
      <w:pPr>
        <w:jc w:val="both"/>
        <w:rPr>
          <w:rFonts w:ascii="Times" w:eastAsia="Times New Roman" w:hAnsi="Times" w:cs="Courier New"/>
          <w:i/>
          <w:szCs w:val="24"/>
          <w:lang w:val="en-US"/>
        </w:rPr>
      </w:pPr>
      <w:r w:rsidRPr="00DE6068">
        <w:rPr>
          <w:lang w:val="en-US"/>
        </w:rPr>
        <w:t xml:space="preserve">Long-term changes in population dynamics and life history contribute to explain the resilience of a stock of </w:t>
      </w:r>
      <w:proofErr w:type="spellStart"/>
      <w:r w:rsidRPr="00DE6068">
        <w:rPr>
          <w:i/>
          <w:lang w:val="en-US"/>
        </w:rPr>
        <w:t>Micropogonias</w:t>
      </w:r>
      <w:proofErr w:type="spellEnd"/>
      <w:r w:rsidRPr="00DE6068">
        <w:rPr>
          <w:i/>
          <w:lang w:val="en-US"/>
        </w:rPr>
        <w:t xml:space="preserve"> </w:t>
      </w:r>
      <w:proofErr w:type="spellStart"/>
      <w:r w:rsidRPr="00DE6068">
        <w:rPr>
          <w:i/>
          <w:lang w:val="en-US"/>
        </w:rPr>
        <w:t>furnieri</w:t>
      </w:r>
      <w:proofErr w:type="spellEnd"/>
      <w:r w:rsidRPr="00DE6068">
        <w:rPr>
          <w:lang w:val="en-US"/>
        </w:rPr>
        <w:t xml:space="preserve"> (</w:t>
      </w:r>
      <w:proofErr w:type="spellStart"/>
      <w:r w:rsidRPr="00DE6068">
        <w:rPr>
          <w:lang w:val="en-US"/>
        </w:rPr>
        <w:t>Sciaenidae</w:t>
      </w:r>
      <w:proofErr w:type="spellEnd"/>
      <w:r w:rsidRPr="00DE6068">
        <w:rPr>
          <w:lang w:val="en-US"/>
        </w:rPr>
        <w:t xml:space="preserve">, </w:t>
      </w:r>
      <w:proofErr w:type="spellStart"/>
      <w:r w:rsidRPr="00DE6068">
        <w:rPr>
          <w:lang w:val="en-US"/>
        </w:rPr>
        <w:t>Teleostei</w:t>
      </w:r>
      <w:proofErr w:type="spellEnd"/>
      <w:r w:rsidRPr="00DE6068">
        <w:rPr>
          <w:lang w:val="en-US"/>
        </w:rPr>
        <w:t xml:space="preserve">) in the SW Atlantic. </w:t>
      </w:r>
    </w:p>
    <w:p w:rsidR="00343F12" w:rsidRPr="00DE6068" w:rsidRDefault="00343F12" w:rsidP="00343F12">
      <w:pPr>
        <w:jc w:val="both"/>
        <w:rPr>
          <w:rFonts w:ascii="Times" w:eastAsia="Times New Roman" w:hAnsi="Times" w:cs="Courier New"/>
          <w:b/>
          <w:szCs w:val="24"/>
        </w:rPr>
      </w:pPr>
      <w:r w:rsidRPr="00DE6068">
        <w:rPr>
          <w:rFonts w:ascii="Times" w:eastAsia="Times New Roman" w:hAnsi="Times" w:cs="Courier New"/>
          <w:b/>
          <w:szCs w:val="24"/>
        </w:rPr>
        <w:t xml:space="preserve">Authors </w:t>
      </w:r>
    </w:p>
    <w:p w:rsidR="00343F12" w:rsidRDefault="00343F12" w:rsidP="00343F12">
      <w:pPr>
        <w:jc w:val="both"/>
        <w:rPr>
          <w:rFonts w:ascii="Times" w:eastAsia="Times New Roman" w:hAnsi="Times" w:cs="Courier New"/>
          <w:szCs w:val="24"/>
          <w:vertAlign w:val="superscript"/>
        </w:rPr>
      </w:pPr>
      <w:r w:rsidRPr="00DE6068">
        <w:rPr>
          <w:rFonts w:ascii="Times" w:eastAsia="Times New Roman" w:hAnsi="Times" w:cs="Courier New"/>
          <w:szCs w:val="24"/>
        </w:rPr>
        <w:t>Manuel Haimovici</w:t>
      </w:r>
      <w:r w:rsidRPr="00DE6068">
        <w:rPr>
          <w:rFonts w:ascii="Times" w:eastAsia="Times New Roman" w:hAnsi="Times" w:cs="Courier New"/>
          <w:szCs w:val="24"/>
          <w:vertAlign w:val="superscript"/>
        </w:rPr>
        <w:t>1</w:t>
      </w:r>
      <w:r w:rsidRPr="00DE6068">
        <w:rPr>
          <w:rFonts w:ascii="Times" w:eastAsia="Times New Roman" w:hAnsi="Times" w:cs="Courier New"/>
          <w:szCs w:val="24"/>
        </w:rPr>
        <w:t>, Leticia Maria Cavole</w:t>
      </w:r>
      <w:r w:rsidRPr="00DE6068">
        <w:rPr>
          <w:rFonts w:ascii="Times" w:eastAsia="Times New Roman" w:hAnsi="Times" w:cs="Courier New"/>
          <w:szCs w:val="24"/>
          <w:vertAlign w:val="superscript"/>
        </w:rPr>
        <w:t>2</w:t>
      </w:r>
      <w:r w:rsidRPr="00DE6068">
        <w:rPr>
          <w:rFonts w:ascii="Times" w:eastAsia="Times New Roman" w:hAnsi="Times" w:cs="Courier New"/>
          <w:szCs w:val="24"/>
        </w:rPr>
        <w:t>, Jason M. Cope³, Luís Gustavo Cardoso</w:t>
      </w:r>
      <w:r w:rsidRPr="00DE6068">
        <w:rPr>
          <w:rFonts w:ascii="Times" w:eastAsia="Times New Roman" w:hAnsi="Times" w:cs="Courier New"/>
          <w:szCs w:val="24"/>
          <w:vertAlign w:val="superscript"/>
        </w:rPr>
        <w:t>1</w:t>
      </w:r>
    </w:p>
    <w:p w:rsidR="00A414F7" w:rsidRDefault="00A414F7" w:rsidP="00A414F7">
      <w:pPr>
        <w:spacing w:after="240"/>
        <w:rPr>
          <w:lang w:val="en-GB"/>
        </w:rPr>
      </w:pPr>
      <w:bookmarkStart w:id="0" w:name="_GoBack"/>
      <w:bookmarkEnd w:id="0"/>
      <w:r>
        <w:rPr>
          <w:lang w:val="en-GB"/>
        </w:rPr>
        <w:t xml:space="preserve">3.2 Changes at </w:t>
      </w:r>
      <w:r w:rsidRPr="00DE6068">
        <w:rPr>
          <w:lang w:val="en-GB"/>
        </w:rPr>
        <w:t>first maturity</w:t>
      </w:r>
    </w:p>
    <w:p w:rsidR="00A414F7" w:rsidRDefault="00A414F7" w:rsidP="00A414F7">
      <w:pPr>
        <w:spacing w:after="240"/>
        <w:rPr>
          <w:lang w:val="en-GB"/>
        </w:rPr>
      </w:pPr>
      <w:r>
        <w:rPr>
          <w:lang w:val="en-GB"/>
        </w:rPr>
        <w:t xml:space="preserve">Here we present the estimated values for parameters of the fitted logistic model by sex (Tables 1 and 2). The Figures 1 and 2 shows the </w:t>
      </w:r>
      <w:r w:rsidRPr="0057383C">
        <w:rPr>
          <w:lang w:val="en-GB"/>
        </w:rPr>
        <w:t>trace plot</w:t>
      </w:r>
      <w:r>
        <w:rPr>
          <w:lang w:val="en-GB"/>
        </w:rPr>
        <w:t xml:space="preserve">s of the </w:t>
      </w:r>
      <w:r w:rsidRPr="0057383C">
        <w:rPr>
          <w:lang w:val="en-GB"/>
        </w:rPr>
        <w:t xml:space="preserve">evolution of the parameter vectors over the iterations of the three Markov chains and </w:t>
      </w:r>
      <w:r>
        <w:rPr>
          <w:lang w:val="en-GB"/>
        </w:rPr>
        <w:t xml:space="preserve">the respective </w:t>
      </w:r>
      <w:r w:rsidRPr="0057383C">
        <w:rPr>
          <w:lang w:val="en-GB"/>
        </w:rPr>
        <w:t>the parameters posterior distributions.</w:t>
      </w:r>
      <w:r>
        <w:rPr>
          <w:lang w:val="en-GB"/>
        </w:rPr>
        <w:t xml:space="preserve"> The Figure 3 show the posterior distribution of the estimated age at first maturity.</w:t>
      </w:r>
    </w:p>
    <w:p w:rsidR="00A414F7" w:rsidRDefault="00A414F7" w:rsidP="00A414F7">
      <w:pPr>
        <w:spacing w:after="240"/>
        <w:jc w:val="both"/>
        <w:rPr>
          <w:rFonts w:ascii="Helvetica" w:hAnsi="Helvetica"/>
          <w:color w:val="000000"/>
          <w:sz w:val="21"/>
          <w:szCs w:val="21"/>
          <w:shd w:val="clear" w:color="auto" w:fill="FFFFFF"/>
          <w:lang w:val="en-US"/>
        </w:rPr>
      </w:pPr>
      <w:r w:rsidRPr="00AD066C">
        <w:rPr>
          <w:rFonts w:cs="Times New Roman"/>
          <w:color w:val="000000"/>
          <w:szCs w:val="21"/>
          <w:shd w:val="clear" w:color="auto" w:fill="FFFFFF"/>
          <w:lang w:val="en-US"/>
        </w:rPr>
        <w:t xml:space="preserve">Table </w:t>
      </w:r>
      <w:r>
        <w:rPr>
          <w:rFonts w:cs="Times New Roman"/>
          <w:color w:val="000000"/>
          <w:szCs w:val="21"/>
          <w:shd w:val="clear" w:color="auto" w:fill="FFFFFF"/>
          <w:lang w:val="en-US"/>
        </w:rPr>
        <w:t>1</w:t>
      </w:r>
      <w:r w:rsidRPr="00AD066C">
        <w:rPr>
          <w:rFonts w:cs="Times New Roman"/>
          <w:color w:val="000000"/>
          <w:szCs w:val="21"/>
          <w:shd w:val="clear" w:color="auto" w:fill="FFFFFF"/>
          <w:lang w:val="en-US"/>
        </w:rPr>
        <w:t>.</w:t>
      </w:r>
      <w:r w:rsidRPr="00AD066C">
        <w:rPr>
          <w:rFonts w:ascii="Helvetica" w:hAnsi="Helvetica"/>
          <w:color w:val="000000"/>
          <w:sz w:val="25"/>
          <w:szCs w:val="21"/>
          <w:shd w:val="clear" w:color="auto" w:fill="FFFFFF"/>
          <w:lang w:val="en-US"/>
        </w:rPr>
        <w:t xml:space="preserve"> </w:t>
      </w:r>
      <w:r w:rsidRPr="005B0044">
        <w:rPr>
          <w:rFonts w:cs="Times New Roman"/>
          <w:szCs w:val="24"/>
          <w:lang w:val="en-US"/>
        </w:rPr>
        <w:t xml:space="preserve">The posterior parameters for </w:t>
      </w:r>
      <w:r>
        <w:rPr>
          <w:rFonts w:cs="Times New Roman"/>
          <w:szCs w:val="24"/>
          <w:lang w:val="en-US"/>
        </w:rPr>
        <w:t xml:space="preserve">the logistic </w:t>
      </w:r>
      <w:r w:rsidRPr="005B0044">
        <w:rPr>
          <w:rFonts w:cs="Times New Roman"/>
          <w:szCs w:val="24"/>
          <w:lang w:val="en-US"/>
        </w:rPr>
        <w:t>model (</w:t>
      </w:r>
      <w:r>
        <w:rPr>
          <w:rFonts w:cs="Times New Roman"/>
          <w:i/>
          <w:sz w:val="22"/>
          <w:szCs w:val="24"/>
          <w:lang w:val="en-US"/>
        </w:rPr>
        <w:t>beta0 and beta 1</w:t>
      </w:r>
      <w:r w:rsidRPr="005B0044">
        <w:rPr>
          <w:rFonts w:eastAsia="Times New Roman" w:cs="Times New Roman"/>
          <w:color w:val="000000"/>
          <w:szCs w:val="16"/>
          <w:lang w:val="en-US" w:eastAsia="pt-BR"/>
        </w:rPr>
        <w:t xml:space="preserve">) </w:t>
      </w:r>
      <w:r w:rsidRPr="005B0044">
        <w:rPr>
          <w:rFonts w:cs="Times New Roman"/>
          <w:szCs w:val="24"/>
          <w:lang w:val="en-US"/>
        </w:rPr>
        <w:t xml:space="preserve">estimated for </w:t>
      </w:r>
      <w:r>
        <w:rPr>
          <w:rFonts w:cs="Times New Roman"/>
          <w:szCs w:val="24"/>
          <w:lang w:val="en-US"/>
        </w:rPr>
        <w:t>fe</w:t>
      </w:r>
      <w:r w:rsidRPr="005B0044">
        <w:rPr>
          <w:rFonts w:cs="Times New Roman"/>
          <w:szCs w:val="24"/>
          <w:lang w:val="en-US"/>
        </w:rPr>
        <w:t xml:space="preserve">males of </w:t>
      </w:r>
      <w:r w:rsidRPr="005B0044">
        <w:rPr>
          <w:rFonts w:cs="Times New Roman"/>
          <w:i/>
          <w:szCs w:val="24"/>
          <w:lang w:val="en-GB"/>
        </w:rPr>
        <w:t xml:space="preserve">Micropogonias </w:t>
      </w:r>
      <w:proofErr w:type="spellStart"/>
      <w:r w:rsidRPr="005B0044">
        <w:rPr>
          <w:rFonts w:cs="Times New Roman"/>
          <w:i/>
          <w:szCs w:val="24"/>
          <w:lang w:val="en-GB"/>
        </w:rPr>
        <w:t>furnieri</w:t>
      </w:r>
      <w:proofErr w:type="spellEnd"/>
      <w:r w:rsidRPr="005B0044">
        <w:rPr>
          <w:rFonts w:cs="Times New Roman"/>
          <w:szCs w:val="24"/>
          <w:lang w:val="en-GB"/>
        </w:rPr>
        <w:t xml:space="preserve"> from southern Brazil</w:t>
      </w:r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Sd</w:t>
      </w:r>
      <w:proofErr w:type="spellEnd"/>
      <w:r>
        <w:rPr>
          <w:rFonts w:cs="Times New Roman"/>
          <w:szCs w:val="24"/>
          <w:lang w:val="en-GB"/>
        </w:rPr>
        <w:t>= standard deviation.</w:t>
      </w:r>
      <w:r w:rsidRPr="00C34C03">
        <w:rPr>
          <w:rFonts w:cs="Times New Roman"/>
          <w:szCs w:val="24"/>
          <w:lang w:val="en-GB"/>
        </w:rPr>
        <w:t xml:space="preserve"> </w:t>
      </w:r>
      <w:r w:rsidRPr="005B0044">
        <w:rPr>
          <w:rFonts w:cs="Times New Roman"/>
          <w:szCs w:val="24"/>
          <w:lang w:val="en-GB"/>
        </w:rPr>
        <w:t xml:space="preserve">Overlap0 checks if 0 falls in the parameter's 95% credible interval. </w:t>
      </w:r>
      <w:proofErr w:type="gramStart"/>
      <w:r w:rsidRPr="005B0044">
        <w:rPr>
          <w:rFonts w:cs="Times New Roman"/>
          <w:i/>
          <w:szCs w:val="24"/>
          <w:lang w:val="en-GB"/>
        </w:rPr>
        <w:t>f</w:t>
      </w:r>
      <w:proofErr w:type="gramEnd"/>
      <w:r w:rsidRPr="005B0044">
        <w:rPr>
          <w:rFonts w:cs="Times New Roman"/>
          <w:szCs w:val="24"/>
          <w:lang w:val="en-GB"/>
        </w:rPr>
        <w:t xml:space="preserve"> is the proportion of the posterior with the same sign as the mean; i.e., our confidence that the parameter is positive or negative..</w:t>
      </w:r>
      <w:r w:rsidRPr="005B0044">
        <w:rPr>
          <w:rFonts w:cs="Times New Roman"/>
          <w:lang w:val="en-US"/>
        </w:rPr>
        <w:t xml:space="preserve"> </w:t>
      </w:r>
      <w:r w:rsidRPr="005B0044">
        <w:rPr>
          <w:rFonts w:cs="Times New Roman"/>
          <w:szCs w:val="24"/>
          <w:lang w:val="en-GB"/>
        </w:rPr>
        <w:t xml:space="preserve">Successful convergence based on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 values (all &lt; 1.1).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 is the potential scale reduction factor (at convergence,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=1).  For each parameter, </w:t>
      </w:r>
      <w:proofErr w:type="spellStart"/>
      <w:r w:rsidRPr="005B0044">
        <w:rPr>
          <w:rFonts w:cs="Times New Roman"/>
          <w:szCs w:val="24"/>
          <w:lang w:val="en-GB"/>
        </w:rPr>
        <w:t>n.eff</w:t>
      </w:r>
      <w:proofErr w:type="spellEnd"/>
      <w:r w:rsidRPr="005B0044">
        <w:rPr>
          <w:rFonts w:cs="Times New Roman"/>
          <w:szCs w:val="24"/>
          <w:lang w:val="en-GB"/>
        </w:rPr>
        <w:t xml:space="preserve"> is a crude measure of effective sample size.</w:t>
      </w:r>
    </w:p>
    <w:tbl>
      <w:tblPr>
        <w:tblW w:w="7599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840"/>
        <w:gridCol w:w="660"/>
        <w:gridCol w:w="840"/>
        <w:gridCol w:w="840"/>
        <w:gridCol w:w="819"/>
        <w:gridCol w:w="910"/>
        <w:gridCol w:w="340"/>
        <w:gridCol w:w="660"/>
        <w:gridCol w:w="550"/>
      </w:tblGrid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Parameters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mean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sd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2.50%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50%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97.50%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overlap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val="en-GB" w:eastAsia="pt-BR"/>
              </w:rPr>
              <w:t>Rhat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n.eff</w:t>
            </w:r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beta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-10.183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0.917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-12.094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-10.161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-8.488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933</w:t>
            </w:r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beta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0.028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0.033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1.006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927</w:t>
            </w:r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deviance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53.917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2.008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51.972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53.295</w:t>
            </w:r>
          </w:p>
        </w:tc>
        <w:tc>
          <w:tcPr>
            <w:tcW w:w="8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59.474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1.005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506</w:t>
            </w:r>
          </w:p>
        </w:tc>
      </w:tr>
    </w:tbl>
    <w:p w:rsidR="00A414F7" w:rsidRPr="0057383C" w:rsidRDefault="00A414F7" w:rsidP="00A414F7">
      <w:pPr>
        <w:spacing w:after="240"/>
        <w:jc w:val="both"/>
        <w:rPr>
          <w:lang w:val="en-US"/>
        </w:rPr>
      </w:pPr>
    </w:p>
    <w:p w:rsidR="00A414F7" w:rsidRDefault="00A414F7" w:rsidP="00A414F7">
      <w:pPr>
        <w:spacing w:after="240"/>
        <w:rPr>
          <w:rFonts w:cs="Times New Roman"/>
          <w:szCs w:val="24"/>
          <w:lang w:val="en-GB"/>
        </w:rPr>
      </w:pPr>
      <w:r>
        <w:rPr>
          <w:lang w:val="en-US"/>
        </w:rPr>
        <w:t xml:space="preserve">Table 2. </w:t>
      </w:r>
      <w:r w:rsidRPr="005B0044">
        <w:rPr>
          <w:rFonts w:cs="Times New Roman"/>
          <w:szCs w:val="24"/>
          <w:lang w:val="en-US"/>
        </w:rPr>
        <w:t xml:space="preserve">The posterior parameters for </w:t>
      </w:r>
      <w:r>
        <w:rPr>
          <w:rFonts w:cs="Times New Roman"/>
          <w:szCs w:val="24"/>
          <w:lang w:val="en-US"/>
        </w:rPr>
        <w:t xml:space="preserve">the logistic </w:t>
      </w:r>
      <w:r w:rsidRPr="005B0044">
        <w:rPr>
          <w:rFonts w:cs="Times New Roman"/>
          <w:szCs w:val="24"/>
          <w:lang w:val="en-US"/>
        </w:rPr>
        <w:t>model (</w:t>
      </w:r>
      <w:r>
        <w:rPr>
          <w:rFonts w:cs="Times New Roman"/>
          <w:i/>
          <w:sz w:val="22"/>
          <w:szCs w:val="24"/>
          <w:lang w:val="en-US"/>
        </w:rPr>
        <w:t>beta0 and beta 1</w:t>
      </w:r>
      <w:r w:rsidRPr="005B0044">
        <w:rPr>
          <w:rFonts w:eastAsia="Times New Roman" w:cs="Times New Roman"/>
          <w:color w:val="000000"/>
          <w:szCs w:val="16"/>
          <w:lang w:val="en-US" w:eastAsia="pt-BR"/>
        </w:rPr>
        <w:t xml:space="preserve">) </w:t>
      </w:r>
      <w:r w:rsidRPr="005B0044">
        <w:rPr>
          <w:rFonts w:cs="Times New Roman"/>
          <w:szCs w:val="24"/>
          <w:lang w:val="en-US"/>
        </w:rPr>
        <w:t xml:space="preserve">estimated for males of </w:t>
      </w:r>
      <w:r w:rsidRPr="005B0044">
        <w:rPr>
          <w:rFonts w:cs="Times New Roman"/>
          <w:i/>
          <w:szCs w:val="24"/>
          <w:lang w:val="en-GB"/>
        </w:rPr>
        <w:t xml:space="preserve">Micropogonias </w:t>
      </w:r>
      <w:proofErr w:type="spellStart"/>
      <w:r w:rsidRPr="005B0044">
        <w:rPr>
          <w:rFonts w:cs="Times New Roman"/>
          <w:i/>
          <w:szCs w:val="24"/>
          <w:lang w:val="en-GB"/>
        </w:rPr>
        <w:t>furnieri</w:t>
      </w:r>
      <w:proofErr w:type="spellEnd"/>
      <w:r w:rsidRPr="005B0044">
        <w:rPr>
          <w:rFonts w:cs="Times New Roman"/>
          <w:szCs w:val="24"/>
          <w:lang w:val="en-GB"/>
        </w:rPr>
        <w:t xml:space="preserve"> from southern Brazil</w:t>
      </w:r>
      <w:r>
        <w:rPr>
          <w:rFonts w:cs="Times New Roman"/>
          <w:szCs w:val="24"/>
          <w:lang w:val="en-GB"/>
        </w:rPr>
        <w:t xml:space="preserve"> </w:t>
      </w:r>
      <w:proofErr w:type="spellStart"/>
      <w:r>
        <w:rPr>
          <w:rFonts w:cs="Times New Roman"/>
          <w:szCs w:val="24"/>
          <w:lang w:val="en-GB"/>
        </w:rPr>
        <w:t>Sd</w:t>
      </w:r>
      <w:proofErr w:type="spellEnd"/>
      <w:r>
        <w:rPr>
          <w:rFonts w:cs="Times New Roman"/>
          <w:szCs w:val="24"/>
          <w:lang w:val="en-GB"/>
        </w:rPr>
        <w:t>= standard deviation.</w:t>
      </w:r>
      <w:r w:rsidRPr="00C34C03">
        <w:rPr>
          <w:rFonts w:cs="Times New Roman"/>
          <w:szCs w:val="24"/>
          <w:lang w:val="en-GB"/>
        </w:rPr>
        <w:t xml:space="preserve"> </w:t>
      </w:r>
      <w:r w:rsidRPr="005B0044">
        <w:rPr>
          <w:rFonts w:cs="Times New Roman"/>
          <w:szCs w:val="24"/>
          <w:lang w:val="en-GB"/>
        </w:rPr>
        <w:t xml:space="preserve">Overlap0 checks if 0 falls in the parameter's 95% credible interval. </w:t>
      </w:r>
      <w:proofErr w:type="gramStart"/>
      <w:r w:rsidRPr="005B0044">
        <w:rPr>
          <w:rFonts w:cs="Times New Roman"/>
          <w:i/>
          <w:szCs w:val="24"/>
          <w:lang w:val="en-GB"/>
        </w:rPr>
        <w:t>f</w:t>
      </w:r>
      <w:proofErr w:type="gramEnd"/>
      <w:r w:rsidRPr="005B0044">
        <w:rPr>
          <w:rFonts w:cs="Times New Roman"/>
          <w:szCs w:val="24"/>
          <w:lang w:val="en-GB"/>
        </w:rPr>
        <w:t xml:space="preserve"> is the proportion of the posterior with the same sign as the mean; i.e., our confidence that the parameter is positive or negative..</w:t>
      </w:r>
      <w:r w:rsidRPr="005B0044">
        <w:rPr>
          <w:rFonts w:cs="Times New Roman"/>
          <w:lang w:val="en-US"/>
        </w:rPr>
        <w:t xml:space="preserve"> </w:t>
      </w:r>
      <w:r w:rsidRPr="005B0044">
        <w:rPr>
          <w:rFonts w:cs="Times New Roman"/>
          <w:szCs w:val="24"/>
          <w:lang w:val="en-GB"/>
        </w:rPr>
        <w:t xml:space="preserve">Successful convergence based on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 values (all &lt; 1.1).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 is the potential scale reduction factor (at convergence, </w:t>
      </w:r>
      <w:proofErr w:type="spellStart"/>
      <w:r w:rsidRPr="005B0044">
        <w:rPr>
          <w:rFonts w:cs="Times New Roman"/>
          <w:szCs w:val="24"/>
          <w:lang w:val="en-GB"/>
        </w:rPr>
        <w:t>Rhat</w:t>
      </w:r>
      <w:proofErr w:type="spellEnd"/>
      <w:r w:rsidRPr="005B0044">
        <w:rPr>
          <w:rFonts w:cs="Times New Roman"/>
          <w:szCs w:val="24"/>
          <w:lang w:val="en-GB"/>
        </w:rPr>
        <w:t xml:space="preserve">=1).  For each parameter, </w:t>
      </w:r>
      <w:proofErr w:type="spellStart"/>
      <w:r w:rsidRPr="005B0044">
        <w:rPr>
          <w:rFonts w:cs="Times New Roman"/>
          <w:szCs w:val="24"/>
          <w:lang w:val="en-GB"/>
        </w:rPr>
        <w:t>n.eff</w:t>
      </w:r>
      <w:proofErr w:type="spellEnd"/>
      <w:r w:rsidRPr="005B0044">
        <w:rPr>
          <w:rFonts w:cs="Times New Roman"/>
          <w:szCs w:val="24"/>
          <w:lang w:val="en-GB"/>
        </w:rPr>
        <w:t xml:space="preserve"> is a crude measure of effective sample size.</w:t>
      </w:r>
    </w:p>
    <w:tbl>
      <w:tblPr>
        <w:tblW w:w="7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40"/>
        <w:gridCol w:w="740"/>
        <w:gridCol w:w="660"/>
        <w:gridCol w:w="840"/>
        <w:gridCol w:w="740"/>
        <w:gridCol w:w="840"/>
        <w:gridCol w:w="910"/>
        <w:gridCol w:w="320"/>
        <w:gridCol w:w="660"/>
        <w:gridCol w:w="550"/>
      </w:tblGrid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Parameters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mean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sd</w:t>
            </w:r>
            <w:proofErr w:type="spellEnd"/>
            <w:proofErr w:type="gramEnd"/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2.50%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50%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97.50%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overlap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</w:t>
            </w:r>
            <w:proofErr w:type="gramEnd"/>
          </w:p>
        </w:tc>
        <w:tc>
          <w:tcPr>
            <w:tcW w:w="6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Rhat</w:t>
            </w:r>
            <w:proofErr w:type="spellEnd"/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n.eff</w:t>
            </w:r>
            <w:proofErr w:type="spellEnd"/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beta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-9.251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0.925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-11.132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-9.228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-7.486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357</w:t>
            </w:r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beta</w:t>
            </w:r>
            <w:proofErr w:type="gramEnd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0.003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0.024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0.035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358</w:t>
            </w:r>
          </w:p>
        </w:tc>
      </w:tr>
      <w:tr w:rsidR="00A414F7" w:rsidRPr="00AD066C" w:rsidTr="00E07E6E">
        <w:trPr>
          <w:trHeight w:val="292"/>
          <w:jc w:val="center"/>
        </w:trPr>
        <w:tc>
          <w:tcPr>
            <w:tcW w:w="1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proofErr w:type="spellStart"/>
            <w:proofErr w:type="gramStart"/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deviance</w:t>
            </w:r>
            <w:proofErr w:type="spellEnd"/>
            <w:proofErr w:type="gramEnd"/>
          </w:p>
        </w:tc>
        <w:tc>
          <w:tcPr>
            <w:tcW w:w="7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78.03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1.979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76.068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77.43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83.34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FALSE</w:t>
            </w:r>
          </w:p>
        </w:tc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1.009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414F7" w:rsidRPr="00AD066C" w:rsidRDefault="00A414F7" w:rsidP="00E07E6E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AD066C">
              <w:rPr>
                <w:rFonts w:eastAsia="Times New Roman" w:cs="Times New Roman"/>
                <w:color w:val="000000"/>
                <w:sz w:val="22"/>
                <w:lang w:eastAsia="pt-BR"/>
              </w:rPr>
              <w:t>573</w:t>
            </w:r>
          </w:p>
        </w:tc>
      </w:tr>
    </w:tbl>
    <w:p w:rsidR="00A414F7" w:rsidRPr="00AD066C" w:rsidRDefault="00A414F7" w:rsidP="00A414F7">
      <w:pPr>
        <w:spacing w:after="240"/>
        <w:rPr>
          <w:lang w:val="en-US"/>
        </w:rPr>
      </w:pPr>
    </w:p>
    <w:p w:rsidR="00A414F7" w:rsidRDefault="00A414F7" w:rsidP="00A414F7">
      <w:pPr>
        <w:spacing w:after="240"/>
        <w:rPr>
          <w:lang w:val="en-GB"/>
        </w:rPr>
      </w:pPr>
      <w:r w:rsidRPr="00AD066C">
        <w:rPr>
          <w:noProof/>
          <w:lang w:eastAsia="pt-BR"/>
        </w:rPr>
        <w:lastRenderedPageBreak/>
        <w:drawing>
          <wp:inline distT="0" distB="0" distL="0" distR="0" wp14:anchorId="3D111881" wp14:editId="53E5D937">
            <wp:extent cx="5400040" cy="4425823"/>
            <wp:effectExtent l="0" t="0" r="0" b="0"/>
            <wp:docPr id="9" name="Imagem 9" descr="D:\Dropbox\Corvina\_Corvina mudancas dinamica 2019\Dados_e_scripts\Maturação\Analise_L50_bayesiana\Modelo_unico_x_multiplo_L50\Rplot_modelo_unico_diagnostico_femea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Dropbox\Corvina\_Corvina mudancas dinamica 2019\Dados_e_scripts\Maturação\Analise_L50_bayesiana\Modelo_unico_x_multiplo_L50\Rplot_modelo_unico_diagnostico_femea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F7" w:rsidRDefault="00A414F7" w:rsidP="00A414F7">
      <w:pPr>
        <w:spacing w:after="240"/>
        <w:rPr>
          <w:lang w:val="en-GB"/>
        </w:rPr>
      </w:pPr>
      <w:r w:rsidRPr="008E0F8E">
        <w:rPr>
          <w:lang w:val="en-GB"/>
        </w:rPr>
        <w:t>Figure</w:t>
      </w:r>
      <w:r>
        <w:rPr>
          <w:lang w:val="en-GB"/>
        </w:rPr>
        <w:t xml:space="preserve"> 1</w:t>
      </w:r>
      <w:r w:rsidRPr="008E0F8E">
        <w:rPr>
          <w:lang w:val="en-GB"/>
        </w:rPr>
        <w:t xml:space="preserve">. </w:t>
      </w:r>
      <w:r>
        <w:rPr>
          <w:lang w:val="en-GB"/>
        </w:rPr>
        <w:t xml:space="preserve">Females </w:t>
      </w:r>
      <w:r w:rsidRPr="008E0F8E">
        <w:rPr>
          <w:lang w:val="en-GB"/>
        </w:rPr>
        <w:t xml:space="preserve">MCMC diagnostic plots for the </w:t>
      </w:r>
      <w:r>
        <w:rPr>
          <w:lang w:val="en-GB"/>
        </w:rPr>
        <w:t xml:space="preserve">logistic parameters fitted to pooled maturity at length data </w:t>
      </w:r>
      <w:r w:rsidRPr="008E0F8E">
        <w:rPr>
          <w:lang w:val="en-GB"/>
        </w:rPr>
        <w:t>and its respective posterior distributions.</w:t>
      </w:r>
    </w:p>
    <w:p w:rsidR="00A414F7" w:rsidRDefault="00A414F7" w:rsidP="00A414F7">
      <w:pPr>
        <w:spacing w:after="240"/>
        <w:rPr>
          <w:lang w:val="en-GB"/>
        </w:rPr>
      </w:pPr>
      <w:r w:rsidRPr="00AD066C">
        <w:rPr>
          <w:noProof/>
          <w:lang w:eastAsia="pt-BR"/>
        </w:rPr>
        <w:lastRenderedPageBreak/>
        <w:drawing>
          <wp:inline distT="0" distB="0" distL="0" distR="0" wp14:anchorId="33CAF058" wp14:editId="0B731FE3">
            <wp:extent cx="5400040" cy="4425823"/>
            <wp:effectExtent l="0" t="0" r="0" b="0"/>
            <wp:docPr id="10" name="Imagem 10" descr="D:\Dropbox\Corvina\_Corvina mudancas dinamica 2019\Dados_e_scripts\Maturação\Analise_L50_bayesiana\Modelo_unico_x_multiplo_L50\Rplot_modelo_unico_diagnostico_macho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Dropbox\Corvina\_Corvina mudancas dinamica 2019\Dados_e_scripts\Maturação\Analise_L50_bayesiana\Modelo_unico_x_multiplo_L50\Rplot_modelo_unico_diagnostico_machos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25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F7" w:rsidRDefault="00A414F7" w:rsidP="00A414F7">
      <w:pPr>
        <w:spacing w:after="240"/>
        <w:rPr>
          <w:lang w:val="en-GB"/>
        </w:rPr>
      </w:pPr>
      <w:r w:rsidRPr="008E0F8E">
        <w:rPr>
          <w:lang w:val="en-GB"/>
        </w:rPr>
        <w:t>Figure</w:t>
      </w:r>
      <w:r>
        <w:rPr>
          <w:lang w:val="en-GB"/>
        </w:rPr>
        <w:t xml:space="preserve"> 2</w:t>
      </w:r>
      <w:r w:rsidRPr="008E0F8E">
        <w:rPr>
          <w:lang w:val="en-GB"/>
        </w:rPr>
        <w:t xml:space="preserve">. </w:t>
      </w:r>
      <w:r>
        <w:rPr>
          <w:lang w:val="en-GB"/>
        </w:rPr>
        <w:t xml:space="preserve">Males </w:t>
      </w:r>
      <w:r w:rsidRPr="008E0F8E">
        <w:rPr>
          <w:lang w:val="en-GB"/>
        </w:rPr>
        <w:t xml:space="preserve">MCMC diagnostic plots for the </w:t>
      </w:r>
      <w:r>
        <w:rPr>
          <w:lang w:val="en-GB"/>
        </w:rPr>
        <w:t xml:space="preserve">logistic parameters fitted to pooled maturity at length data </w:t>
      </w:r>
      <w:r w:rsidRPr="008E0F8E">
        <w:rPr>
          <w:lang w:val="en-GB"/>
        </w:rPr>
        <w:t>and its respective posterior distributions.</w:t>
      </w:r>
    </w:p>
    <w:p w:rsidR="00A414F7" w:rsidRDefault="00A414F7" w:rsidP="00A414F7">
      <w:pPr>
        <w:spacing w:after="240"/>
        <w:rPr>
          <w:lang w:val="en-GB"/>
        </w:rPr>
      </w:pPr>
    </w:p>
    <w:p w:rsidR="00A414F7" w:rsidRDefault="00A414F7" w:rsidP="00A414F7">
      <w:pPr>
        <w:spacing w:after="240"/>
        <w:jc w:val="center"/>
        <w:rPr>
          <w:lang w:val="en-GB"/>
        </w:rPr>
      </w:pPr>
      <w:r w:rsidRPr="00C34F88">
        <w:rPr>
          <w:noProof/>
          <w:lang w:eastAsia="pt-BR"/>
        </w:rPr>
        <w:drawing>
          <wp:inline distT="0" distB="0" distL="0" distR="0" wp14:anchorId="5A9AF89E" wp14:editId="0640A53C">
            <wp:extent cx="4326892" cy="2635782"/>
            <wp:effectExtent l="0" t="0" r="0" b="0"/>
            <wp:docPr id="11" name="Imagem 11" descr="D:\Dropbox\Corvina\_Corvina mudancas dinamica 2019\Figuras Manuscrito\Posterior_A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ropbox\Corvina\_Corvina mudancas dinamica 2019\Figuras Manuscrito\Posterior_A5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370" cy="26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14F7" w:rsidRDefault="00A414F7" w:rsidP="00A414F7">
      <w:pPr>
        <w:spacing w:after="240"/>
        <w:rPr>
          <w:lang w:val="en-GB"/>
        </w:rPr>
      </w:pPr>
      <w:r>
        <w:rPr>
          <w:lang w:val="en-GB"/>
        </w:rPr>
        <w:t xml:space="preserve">Figure 3. Posterior distributions of age at first maturity for females and males computed for the first and the last period with estimated growth parameters. </w:t>
      </w:r>
    </w:p>
    <w:p w:rsidR="00172FF2" w:rsidRPr="00A414F7" w:rsidRDefault="00343F12">
      <w:pPr>
        <w:rPr>
          <w:lang w:val="en-GB"/>
        </w:rPr>
      </w:pPr>
    </w:p>
    <w:sectPr w:rsidR="00172FF2" w:rsidRPr="00A414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4F7"/>
    <w:rsid w:val="00007F78"/>
    <w:rsid w:val="00343F12"/>
    <w:rsid w:val="00A414F7"/>
    <w:rsid w:val="00B9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A2E1C0-6FD1-4548-843E-BC4F7245A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14F7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435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2</cp:revision>
  <dcterms:created xsi:type="dcterms:W3CDTF">2020-12-07T13:19:00Z</dcterms:created>
  <dcterms:modified xsi:type="dcterms:W3CDTF">2020-12-07T13:24:00Z</dcterms:modified>
</cp:coreProperties>
</file>