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2BBFB" w14:textId="360BB5AA" w:rsidR="000A1967" w:rsidRPr="000A1967" w:rsidRDefault="000A1967" w:rsidP="000A1967">
      <w:r w:rsidRPr="000A1967">
        <w:t>I'll discuss the first bullet point from the instructions, covering the history of the VGA spec</w:t>
      </w:r>
      <w:r w:rsidR="00C717B6">
        <w:t>, then diving into timing and synchronization</w:t>
      </w:r>
      <w:r w:rsidRPr="000A1967">
        <w:t>.</w:t>
      </w:r>
    </w:p>
    <w:p w14:paraId="38011022" w14:textId="0F62FF58" w:rsidR="00446904" w:rsidRDefault="000A1967" w:rsidP="00C717B6">
      <w:r w:rsidRPr="000A1967">
        <w:t>The 640</w:t>
      </w:r>
      <w:r w:rsidR="009A32F5">
        <w:t>x</w:t>
      </w:r>
      <w:r w:rsidRPr="000A1967">
        <w:t xml:space="preserve">480 </w:t>
      </w:r>
      <w:r>
        <w:t>VGA (Video Graphics Array)</w:t>
      </w:r>
      <w:r w:rsidRPr="000A1967">
        <w:t xml:space="preserve"> video mode was established in 1987 by IBM. It operated at 60 Hz, and was considered a significant improvement over the earlier display standards at the time, such as CGA and EGA</w:t>
      </w:r>
      <w:r>
        <w:t>, as it had the capability to display up to 16 colors with a depth of 4 bits per pixel.</w:t>
      </w:r>
      <w:r w:rsidR="00780153">
        <w:t xml:space="preserve"> </w:t>
      </w:r>
      <w:r w:rsidR="00446904">
        <w:t>VGA also standardized the analog video interface that was widely adopted for decades, until it was supplanted the modern digital interfaces such as HDMI, or DisplayPort.</w:t>
      </w:r>
    </w:p>
    <w:p w14:paraId="4E5D3A4A" w14:textId="591B1155" w:rsidR="000A1967" w:rsidRDefault="00780153" w:rsidP="000A1967">
      <w:r>
        <w:t>Referring to the</w:t>
      </w:r>
      <w:r w:rsidR="00533466">
        <w:t xml:space="preserve"> timing portions of the</w:t>
      </w:r>
      <w:r>
        <w:t xml:space="preserve"> Nexys4 DDR manual, the Nexys4 board uses 14 FPGA signals to create a VGA port with 4 bits-per-color and two standard sync signals – HS Horizontal Sync, and VS Vertical Sync. </w:t>
      </w:r>
      <w:r w:rsidR="00533466">
        <w:t xml:space="preserve">A VGA controller circuit must generate the HS and VS timing signals and coordinate the delivery of video data based on the pixel clock. The VS </w:t>
      </w:r>
      <w:r w:rsidR="00EA7A03">
        <w:t>signal defines the refresh rate of the display, which typically falls in the 50-120 Hz range.</w:t>
      </w:r>
      <w:r w:rsidR="00C717B6">
        <w:t xml:space="preserve"> The horizontal sync counter is driven by the pixel clock, which generates HS timings. The same clock is shared with the vertical sync counter, and the HS timing is used to generate VS timings. The combination of the horizontal and vertical counters </w:t>
      </w:r>
      <w:r w:rsidR="002A783F">
        <w:t>is</w:t>
      </w:r>
      <w:r w:rsidR="00C717B6">
        <w:t xml:space="preserve"> used to access video RAM addresses.</w:t>
      </w:r>
    </w:p>
    <w:p w14:paraId="76AACD62" w14:textId="15843CE7" w:rsidR="00533466" w:rsidRDefault="00533466" w:rsidP="000A1967">
      <w:r>
        <w:t>Sources</w:t>
      </w:r>
    </w:p>
    <w:p w14:paraId="24FD3CA9" w14:textId="0A92C28C" w:rsidR="000A1967" w:rsidRDefault="000A1967" w:rsidP="000A1967">
      <w:hyperlink r:id="rId4" w:history="1">
        <w:r w:rsidRPr="00557E79">
          <w:rPr>
            <w:rStyle w:val="Hyperlink"/>
          </w:rPr>
          <w:t>https://www.britannica.com/technology/VGA</w:t>
        </w:r>
      </w:hyperlink>
    </w:p>
    <w:p w14:paraId="26AC5EBA" w14:textId="2557A16C" w:rsidR="00533466" w:rsidRDefault="00533466" w:rsidP="000A1967">
      <w:hyperlink r:id="rId5" w:history="1">
        <w:r w:rsidRPr="00557E79">
          <w:rPr>
            <w:rStyle w:val="Hyperlink"/>
          </w:rPr>
          <w:t>https://extralives.wordpress.com/2013/09/30/graphics-from-the-past-cga-ega-and-vga/</w:t>
        </w:r>
      </w:hyperlink>
    </w:p>
    <w:p w14:paraId="3D987CDC" w14:textId="036ECF62" w:rsidR="00533466" w:rsidRDefault="00533466" w:rsidP="000A1967">
      <w:r>
        <w:t>Nexys4 DDR Reference Manual</w:t>
      </w:r>
    </w:p>
    <w:p w14:paraId="66BCFCB4" w14:textId="77777777" w:rsidR="000A1967" w:rsidRPr="000A1967" w:rsidRDefault="000A1967" w:rsidP="000A1967"/>
    <w:p w14:paraId="19A976CF" w14:textId="77777777" w:rsidR="009B02AA" w:rsidRDefault="009B02AA"/>
    <w:sectPr w:rsidR="009B0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7C2"/>
    <w:rsid w:val="000A1967"/>
    <w:rsid w:val="002A783F"/>
    <w:rsid w:val="003F47C2"/>
    <w:rsid w:val="00446904"/>
    <w:rsid w:val="00533466"/>
    <w:rsid w:val="006F4B02"/>
    <w:rsid w:val="00780153"/>
    <w:rsid w:val="009A32F5"/>
    <w:rsid w:val="009B02AA"/>
    <w:rsid w:val="00A35D5A"/>
    <w:rsid w:val="00A665E3"/>
    <w:rsid w:val="00B80BE9"/>
    <w:rsid w:val="00C717B6"/>
    <w:rsid w:val="00EA7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72BA2"/>
  <w15:chartTrackingRefBased/>
  <w15:docId w15:val="{D3640F7E-98FF-4BB5-A3C9-2E747671D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7C2"/>
    <w:rPr>
      <w:rFonts w:eastAsiaTheme="majorEastAsia" w:cstheme="majorBidi"/>
      <w:color w:val="272727" w:themeColor="text1" w:themeTint="D8"/>
    </w:rPr>
  </w:style>
  <w:style w:type="paragraph" w:styleId="Title">
    <w:name w:val="Title"/>
    <w:basedOn w:val="Normal"/>
    <w:next w:val="Normal"/>
    <w:link w:val="TitleChar"/>
    <w:uiPriority w:val="10"/>
    <w:qFormat/>
    <w:rsid w:val="003F4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7C2"/>
    <w:pPr>
      <w:spacing w:before="160"/>
      <w:jc w:val="center"/>
    </w:pPr>
    <w:rPr>
      <w:i/>
      <w:iCs/>
      <w:color w:val="404040" w:themeColor="text1" w:themeTint="BF"/>
    </w:rPr>
  </w:style>
  <w:style w:type="character" w:customStyle="1" w:styleId="QuoteChar">
    <w:name w:val="Quote Char"/>
    <w:basedOn w:val="DefaultParagraphFont"/>
    <w:link w:val="Quote"/>
    <w:uiPriority w:val="29"/>
    <w:rsid w:val="003F47C2"/>
    <w:rPr>
      <w:i/>
      <w:iCs/>
      <w:color w:val="404040" w:themeColor="text1" w:themeTint="BF"/>
    </w:rPr>
  </w:style>
  <w:style w:type="paragraph" w:styleId="ListParagraph">
    <w:name w:val="List Paragraph"/>
    <w:basedOn w:val="Normal"/>
    <w:uiPriority w:val="34"/>
    <w:qFormat/>
    <w:rsid w:val="003F47C2"/>
    <w:pPr>
      <w:ind w:left="720"/>
      <w:contextualSpacing/>
    </w:pPr>
  </w:style>
  <w:style w:type="character" w:styleId="IntenseEmphasis">
    <w:name w:val="Intense Emphasis"/>
    <w:basedOn w:val="DefaultParagraphFont"/>
    <w:uiPriority w:val="21"/>
    <w:qFormat/>
    <w:rsid w:val="003F47C2"/>
    <w:rPr>
      <w:i/>
      <w:iCs/>
      <w:color w:val="0F4761" w:themeColor="accent1" w:themeShade="BF"/>
    </w:rPr>
  </w:style>
  <w:style w:type="paragraph" w:styleId="IntenseQuote">
    <w:name w:val="Intense Quote"/>
    <w:basedOn w:val="Normal"/>
    <w:next w:val="Normal"/>
    <w:link w:val="IntenseQuoteChar"/>
    <w:uiPriority w:val="30"/>
    <w:qFormat/>
    <w:rsid w:val="003F4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7C2"/>
    <w:rPr>
      <w:i/>
      <w:iCs/>
      <w:color w:val="0F4761" w:themeColor="accent1" w:themeShade="BF"/>
    </w:rPr>
  </w:style>
  <w:style w:type="character" w:styleId="IntenseReference">
    <w:name w:val="Intense Reference"/>
    <w:basedOn w:val="DefaultParagraphFont"/>
    <w:uiPriority w:val="32"/>
    <w:qFormat/>
    <w:rsid w:val="003F47C2"/>
    <w:rPr>
      <w:b/>
      <w:bCs/>
      <w:smallCaps/>
      <w:color w:val="0F4761" w:themeColor="accent1" w:themeShade="BF"/>
      <w:spacing w:val="5"/>
    </w:rPr>
  </w:style>
  <w:style w:type="character" w:styleId="Hyperlink">
    <w:name w:val="Hyperlink"/>
    <w:basedOn w:val="DefaultParagraphFont"/>
    <w:uiPriority w:val="99"/>
    <w:unhideWhenUsed/>
    <w:rsid w:val="000A1967"/>
    <w:rPr>
      <w:color w:val="467886" w:themeColor="hyperlink"/>
      <w:u w:val="single"/>
    </w:rPr>
  </w:style>
  <w:style w:type="character" w:styleId="UnresolvedMention">
    <w:name w:val="Unresolved Mention"/>
    <w:basedOn w:val="DefaultParagraphFont"/>
    <w:uiPriority w:val="99"/>
    <w:semiHidden/>
    <w:unhideWhenUsed/>
    <w:rsid w:val="000A1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xtralives.wordpress.com/2013/09/30/graphics-from-the-past-cga-ega-and-vga/" TargetMode="External"/><Relationship Id="rId4" Type="http://schemas.openxmlformats.org/officeDocument/2006/relationships/hyperlink" Target="https://www.britannica.com/technology/V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Carter</dc:creator>
  <cp:keywords/>
  <dc:description/>
  <cp:lastModifiedBy>Carter, William G. (MU-Student)</cp:lastModifiedBy>
  <cp:revision>6</cp:revision>
  <dcterms:created xsi:type="dcterms:W3CDTF">2026-07-01T01:58:00Z</dcterms:created>
  <dcterms:modified xsi:type="dcterms:W3CDTF">2026-07-01T03:23:00Z</dcterms:modified>
</cp:coreProperties>
</file>