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Processo nº 123/2023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X, inscrita no CNPJ sob o nº 18.713.845/0001-90, com sede na Avenida Eduardo Elias Zahran, 3032, Jardim São Lourenço, Campo Grande/MS, CEP: 79041-000,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Órgão Licitante, pelos fatos e fundamentos a seguir expostos.</w:t>
      </w:r>
    </w:p>
    <w:p>
      <w:r>
        <w:t>I - DOS FATOS</w:t>
      </w:r>
    </w:p>
    <w:p>
      <w:r>
        <w:t>A empresa foi inabilitada no processo licitatório devido à interpretação restritiva do edital.</w:t>
      </w:r>
    </w:p>
    <w:p>
      <w:r>
        <w:t>II - DOS FUNDAMENTOS</w:t>
      </w:r>
    </w:p>
    <w:p>
      <w:r>
        <w:t>A Lei nº 14.133/2021 permite a apresentação de atestados similares e a jurisprudência do TCU corrobora esse entendimento.</w:t>
      </w:r>
    </w:p>
    <w:p>
      <w:r>
        <w:t>III - DOS PEDIDOS</w:t>
      </w:r>
    </w:p>
    <w:p>
      <w:r>
        <w:t>Ante o exposto, requer:</w:t>
      </w:r>
    </w:p>
    <w:p>
      <w:r>
        <w:t>Requer a reconsideração da decisão e a habilitação da empresa no certame.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