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 xml:space="preserve">EXCELENTÍSSIMO(A) SENHOR(A) </w:t>
      </w:r>
    </w:p>
    <w:p>
      <w:pPr>
        <w:jc w:val="center"/>
      </w:pPr>
      <w:r/>
    </w:p>
    <w:p>
      <w:pPr>
        <w:jc w:val="center"/>
      </w:pPr>
      <w:r>
        <w:t>[LOGO_CLIENTE]</w:t>
      </w:r>
    </w:p>
    <w:p>
      <w:r>
        <w:t>Cliente, [QUALIFICACAO_CLIENTE],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em face de , pelos fatos e fundamentos a seguir expostos.</w:t>
      </w:r>
    </w:p>
    <w:p>
      <w:r>
        <w:rPr>
          <w:b/>
        </w:rPr>
        <w:t>I - DOS FATOS</w:t>
      </w:r>
    </w:p>
    <w:p>
      <w:r>
        <w:t>** A empresa licitante apresentou atestado de capacidade técnica comprovando a execução de projetos de pavimentação asfáltica em rodovias. Apesar da exigência contida no edital para apresentação de comprovação específica de projetos urbanos, a metodologia empregada em ambos os casos é semelhante. Ademais, a complexidade técnica dos projetos em rodovias pode ser comparada, senão superior, àquela dos ambientes urbanos, visto que envolvem uma série de desafios técnicos e de engenharia civil de igual magnitude. Assim, a desqualificação com base em tal exigência específica revela-se desarrazoada, especialmente em um contexto onde a experiência comprovada supra satisfaz as necessidades técnicas postuladas no processo licitatório. **</w:t>
      </w:r>
    </w:p>
    <w:p>
      <w:r>
        <w:rPr>
          <w:b/>
        </w:rPr>
        <w:t>II - DOS FUNDAMENTOS</w:t>
      </w:r>
    </w:p>
    <w:p>
      <w:r>
        <w:t>** A legislação licitatória, especialmente conforme prevista na Lei nº 14.133/2021, privilegia a regra do formalismo moderado e da eficiência na condução de processos licitatórios, de modo a garantir a proposta mais vantajosa para a administração e o respeito aos princípios da razoabilidade e proporcionalidade. Conforme já deliberado por entendimentos do Tribunal de Contas da União (TCU), inabilitar um licitante por causa de um rigor excessivo na análise documental, que desconsidere a substância em relação ao formalismo extremo, compromete o interesse público e os princípios de que o processo licitatório deve ser instrumento de viabilização da administração pública e não um obstáculo insuperável. Ademais, é importante ressaltar que a exclusão da empresa licitante com base em uma interpretação restritiva do edital, que não leva em consideração a experiência comprovada e a capacidade técnica demonstrada em obras de igual ou superior complexidade, pode ferir o princípio da vinculação ao instrumento convocatório e também comprometer a isonomia entre os participantes. A jurisprudência do TCU tem reiteradamente enfatizado a necessidade de se considerar a prática e os efeitos das decisões administrativa em face dos objetivos subjacentes pretendidos. **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** a) Que seja reconsiderada a decisão de inabilitação da empresa, com a reavaliação da documentação de atestação de capacidade técnica apresentada, levando em consideração a equivalência e a complexidade similar entre os projetos de asfalto de rodovia e urbano; b) A anulação da decisão de inabilitação baseada na interpretação restritiva do edital, para que se direcione às finalidades efetivas e aos princípios da administração pública; c) Caso mantida a decisão, que sejam apresentadas explicitamente as razões de impedimento para a habilitação e oferecida oportunidade de apresentação de novos documentos ou informações que possam corroborar a capacidade técnica da empresa; d) Que seja aplicado o princípio do formalismo moderado para não apenas valorar a estrita letra do edital, mas também a materialidade das demonstrações e capacidades efetivas comprovadas pela empresa licitante; e) Finalmente, requer a produção dos documentos e certidões que consubstanciem a presente petição e a inclusão deste recurso no certame, com previsão de efeito suspensivo até a decisão final administrativa.</w:t>
      </w:r>
    </w:p>
    <w:p>
      <w:r>
        <w:t>Nestes termos,</w:t>
      </w:r>
    </w:p>
    <w:p>
      <w:r>
        <w:t>Pede deferimento.</w:t>
      </w:r>
    </w:p>
    <w:p>
      <w:r>
        <w:t>[CIDADE], 09/03/2025.</w:t>
      </w:r>
    </w:p>
    <w:p>
      <w:r>
        <w:t>ADVOGADO</w:t>
      </w:r>
    </w:p>
    <w:p>
      <w:r>
        <w:t>OAB/XX 12345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