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pessoa jurídica de direito privado,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Concreta Ltda., participante de um pregão eletrônico ocorrido em 05/03/2025, foi inabilitada em decisão do pregoeiro, alegadamente devido à não apresentação do balanço patrimonial dos dois últimos exercícios, além de ter apresentado uma certidão de falência que estava vencida, ambos requisitos expressos do edital do certame. Entretanto, a empresa foi indevidamente habilitada pelo pregoeiro nessa sessão, decisão que se pretende rever para assegurar a observância das normas regulamentadoras e o princípio da isonomia entre os licitantes.</w:t>
      </w:r>
    </w:p>
    <w:p>
      <w:r>
        <w:rPr>
          <w:b/>
        </w:rPr>
        <w:t>II - DOS FUNDAMENTOS</w:t>
      </w:r>
    </w:p>
    <w:p>
      <w:r>
        <w:t>A inabilitação da Empresa Concreta Ltda. encontra fundamento no Art. 69 da Lei nº 14.133/2021, que exige a apresentação do balanço patrimonial dos dois últimos exercícios para comprovar a qualificação econômico-financeira, um requisito indispensável para avaliar a viabilidade de cumprimento das obrigações contratuais. Além disso, a certidão de regularidade fiscal, quando vencida, não possui validade para garantir a solvabilidade da licitante, o que compromete a legalidade e a moralidade do certame . De acordo com o TCU, Acórdão 2528/2021-TCU-Plenário, o pregoeiro deve, durante a fase de habilitação, sanar erros que não comprometam a validade das propostas, contudo, a inclusão de documentos que já deveriam estar apresentados no momento oportuno não é permitida . Esse entendimento reforça que a decisão da habilitação sem as devidas comprovações fere os princípios da vinculação ao instrumento convocatório e da isonomia . Tal omissão compromete a integridade do certame e justifica a revisão da habilitação como medida de retificação, reforçando os preceitos da impessoalidade e da moralidade administrativa previstos no Art. 5º da mesma lei.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 reconsideração da decisão que habilitou a Empresa Concreta Ltda., promovendo sua inabilitação devido ao não atendimento aos requisitos do edital; b) O retorno do certame à fase correspondente, convocando a próxima licitante melhor classificada; c) A revisão da documentação apresentada para confirmar a regularidade das outras habilitações ocorridas na sessão; d) Que, em caso de indeferimento desse recurso, uma cópia integral do processo seja recebida e encaminhada para apreciação da autoridade superior competente.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