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Ana carla, pregoeira da AGESUL</w:t>
      </w:r>
    </w:p>
    <w:p>
      <w:pPr>
        <w:jc w:val="center"/>
      </w:pPr>
      <w:r>
        <w:t>321/2024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pessoa jurídica de direito privado,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A empresa Concreta Ltda. foi habilitada pelo pregoeiro em sessão ocorrida em 05 de março de 2025, apesar de não ter cumprido requisitos fundamentais previstos no edital do pregão eletrônico. A companhia não apresentou o balanço patrimonial referente aos dois últimos exercícios, uma exigência explícita do instrumento convocatório, conforme previsto na Lei nº 14.133/2021. Além disso, a empresa apresentou uma certidão de falência que estava vencida, o que demonstra uma inadequação formal para competir no certame. Diante desse cenário, a revisão da decisão de habilitação é necessária para assegurar a integridade e a lisura do processo licitatório.</w:t>
      </w:r>
    </w:p>
    <w:p>
      <w:r>
        <w:rPr>
          <w:b/>
        </w:rPr>
        <w:t>II - DOS FUNDAMENTOS</w:t>
      </w:r>
    </w:p>
    <w:p>
      <w:r>
        <w:t>A Lei nº 14.133/2021, que rege os processos licitatórios, estabelece no Art. 5º os princípios da legalidade, isonomia, vinculação ao instrumento convocatório e do julgamento objetivo. A falta de apresentação dos balanços patrimoniais dos dois últimos exercícios representa uma violação ao subitem 10.10.4.1 do edital, ferindo diretamente o princípio da vinculação ao edital e os demais princípios correlacionados. A jurisprudência do Tribunal de Contas da União (TCU) reforça que o cumprimento estrito das exigências editalícias é imperativo para assegurar a igualdade entre os licitantes e evitar a insegurança jurídica. Quanto à certidão de falência vencida, sobresai a necessidade de diligência pelo pregoeiro para verificar o contexto e a validade dos documentos apresentados no certame. Tal postura está em consonância com o Acórdão 1061/2022 do TCU, que reitera a importância do formalismo moderado, o qual deve ser aplicado para coerir com o princípio da isonomia sem desvirtuar as normas.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Reconsideração da decisão de habilitação da empresa Concreta Ltda., determinando sua inabilitação por não cumprimento dos requisitos do edital; b) Retorno à fase de classificação das propostas, convocando-se o próximo concorrente qualificado; c) Se não reconsiderado, solicita-se cópia integral do processo e envio deste recurso à autoridade superior para apreciação; d) Solicita-se que a decisão do presente recurso seja devidamente fundamentada e motivada com base em legislações aplicáveis e dispositivos pertinentes da Lei nº 14.133/2021.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