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pessoa jurídica de direito privado,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[Nome da Empresa], de natureza Microempresa (ME) ou Empresa de Pequeno Porte (EPP), participou de um certame licitatório público. Durante o processo de habilitação, apresentou uma certidão conjunta de débitos tributários federais vencida. Apesar disso, como amparada pela Lei Complementar nº 123/2006, Art. 43, a empresa possui o direito de regularizar sua situação fiscal apresentando uma nova certidão atualizada no curso do processo. Contudo, foi inabilitada sem a oportunidade de apresentar a documentação atualizada, ignorando-se o benefício legal específico para ME/EPP.</w:t>
      </w:r>
    </w:p>
    <w:p>
      <w:r>
        <w:rPr>
          <w:b/>
        </w:rPr>
        <w:t>II - DOS FUNDAMENTOS</w:t>
      </w:r>
    </w:p>
    <w:p>
      <w:r>
        <w:t>Nos termos do Art. 43 da Lei Complementar nº 123/2006, microempresas e empresas de pequeno porte, como a ora recorrente, têm a prerrogativa de regularizar suas certidões fiscais em um prazo específico, não podendo ser inabilitadas de imediato sem a concessão dessa oportunidade. A decisão de inabilitação, ao desconsiderar esta prerrogativa, fere diretamente o princípio da isonomia e o tratamento favorecido previsto na legislação que rege as licitações públicas. Ademais, a Lei nº 14.133/2021, em seu Art. 63, permitiu que erros formais e falhas documentais que não atinjam o mérito das propostas sejam corrigidos a critério da administração, desde que não comprometam a seleção objetiva da proposta. A jurisprudência do Tribunal de Contas da União, como no Acórdão 970/2022-TCU-Plenário, reafirma a necessidade de a administração proporcionar oportunidade para sanar irregularidades formais, visando evitar a exclusão prematura do certame, assegurando-se a ampla competitividade do procedimento licitatório. Desse modo, a inabilitação da empresa sem a possibilidade de regularização das certidões está em desacordo com o objetivo central da legislação licitatória de promover a ampla competição e o tratamento diferenciado à MEs e EPPs, representando, assim, um equívoco a ser corrigido na esfera administrativa.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Reconsideração imediata da decisão de inabilitação da empresa, permitindo a regularização da certidão vencida no prazo legal; b) Caso a reconsideração não seja procedida, que o recurso seja encaminhado à autoridade superior competente para reavaliação do ato administrativo contestado; c) Requer-se, ainda, a suspensão dos efeitos da inabilitação até a decisão final deste recurso, assegurando-se o direito de participação da empresa no certame; d) Por fim, seja assegurado o acesso a todos os fatos do processo para a adequada formulação de defesa, conforme previsto no Art. 165, § 5º da Lei nº 14.133/2021.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