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A empresa Concreta Ltda. foi habilitada pelo pregoeiro na sessão do dia 05/03/2025, apesar de não ter atendido integralmente os requisitos do edital de licitação. Especificamente, a empresa não apresentou o balanço patrimonial dos dois últimos exercícios sociais, conforme exigido, e apresentou uma certidão de falência vencida. Essas falhas representam uma violação direta aos critérios de habilitação econômico-financeira estabelecidos no edital, que são fundamentais para assegurar a capacidade da licitante em cumprir suas obrigações contratuais. Tal decisão de habilitação deve ser revisada para que se mantenham os princípios de isonomia e vinculação ao instrumento convocatório.</w:t>
      </w:r>
    </w:p>
    <w:p>
      <w:r>
        <w:rPr>
          <w:b/>
        </w:rPr>
        <w:t>II - DOS FUNDAMENTOS</w:t>
      </w:r>
    </w:p>
    <w:p>
      <w:r>
        <w:t>A Lei nº 14.133/2021, que rege as licitações, prevê no Art. 69, inciso I, que a habilitação econômico-financeira exige a apresentação do balanço patrimonial e das demonstrações contábeis dos dois últimos exercícios sociais. A ausência desse documento essencial compromete a avaliação da aptidão econômica da empresa para executar o contrato. Além disso, a certificação vencida de falência apresentada pela empresa infringe a exigência de apresentar documentos válidos e atualizados para a demonstração de regularidade jurídica. A jurisprudência do Tribunal de Contas da União (TCU) reforça a importância da estrita observância ao edital como norma que disciplina o certame, especialmente no que se refere à documentação de habilitação. O princípio da vinculação ao instrumento convocatório, previsto no Art. 5º da Lei nº 14.133/2021, assegura que todos os licitantes sejam tratados de forma isonômica, não podendo ser flexibilizados os requisitos do edital sob pena de violação dos princípios de igualdade e imparcialidade. Ainda, a doutrina, segundo Marçal Justen Filho, afirma que a inobservância das cláusulas editalícias representa um grave precedente para a integridade das licitações.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a reconsideração da habilitação da empresa Concreta Ltda., com base na inobservância dos requisitos editalícios essenciais. b) Solicita-se que a decisão de habilitação seja anulada e que o certame retorne à fase de habilitação, permitindo a reavaliação dos documentos apresentados pelos participantes segundo as regras do edital. c) Caso a reconsideração não seja possível, requer que todos os fundamentos legais e doutrinários que suportam a manutenção da habilitação sejam devidamente esclarecidos em resposta formal. d) Em caso de indeferimento, solicita-se consulta à autoridade superior para que analise a pertinência dos argumentos apresentados.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Dr. João Silva</w:t>
      </w:r>
    </w:p>
    <w:p>
      <w:r>
        <w:t>OAB/MS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