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Empresa concreta ltda não atendeu edital pois não apresentou balanço patrimonial dos dois exercicios e apresentou certidão de falencia vencida, no entanto foi habilitada pelo pregoeiro na sessão do dia 05/03/2025, decisão que deve ser revista.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A habilitação econômico-financeira exigida nas licitações públicas visa demonstrar a aptidão do licitante para cumprir obrigações futuras, objetivando a segurança contratual e o atendimento às condições do edital. De acordo com o artigo 69, inciso I, da Lei nº 14.133/2021, é fundamental a apresentação do balanço patrimonial e de demonstrações contábeis dos dois últimos exercícios sociais【4:6†L14133】. Esta exigência visa assegurar que o licitante possui solidez financeira, evitando riscos ao erário público. A empresa Concreta Ltda, ao não apresentar os balanços dos dois exercícios requeridos, infringe a exigência de demonstração de aptidão econômico-financeira, configurando razão suficiente para a sua inabilitação e proteção dos princípios de igualdade e legalidade do certame【4:5†RECURSO ADM TOPX.docx】.</w:t>
        <w:br/>
        <w:br/>
        <w:t>Além disso, a apresentação de certidão de falência vencida fere os critérios de regularidade fiscal e de capacidade econômica, diretamente relacionados à habilitação prevista no artigo 69, inciso II da Lei nº 14.133/2021【4:6†L14133】. Trata-se de um requisito que visa assegurar que a empresa está economicamente ativo e sem impedimentos legais para contratação pública. A jurisprudência e doutrina, como a exposta por Celso Antônio Bandeira de Mello, reforçam que o cumprimento estrito dos requisitos do edital é essencial para manter a integridade do procedimento licitatório【4:12†RECURSO ADM TOPX.docx】. Assim, a habilitação da empresa recorrida com falhas documentais é uma violação dos princípios da isonomia e da vinculação ao edital, o que prejudica a lisura do processo【4:15†RECURSO ADM TOPX.docx】.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Diante do exposto, requer:</w:t>
        <w:br/>
        <w:t>a) A reconsideração da decisão que habilitou a empresa Concreta Ltda, promovendo sua inabilitação, em razão do não atendimento aos requisitos editalícios de apresentação do balanço patrimonial dos dois últimos exercícios sociais e pela certidão de falência vencida;</w:t>
        <w:br/>
        <w:t>b) Que, na inabilitação da empresa Concreta Ltda, que o certame retorne para a fase correspondente, dando prosseguimento na convocação da próxima licitante melhor classificada;</w:t>
        <w:br/>
        <w:t>c) Caso não haja reconsideração, que o presente recurso seja respondido com os devidos elementos jurídicos basilares para a manutenção da licitante que descumpriu as regras editalícias; e</w:t>
        <w:br/>
        <w:t>d) No caso do presente recurso ser indeferido, solicitamos cópia integral do processo, e que este pedido seja remetido para apreciação da autoridade superior.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