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>Apresentamos atestado de capacidade técnica de projeto de asfalto de rodovia mas não aceitaram alegando que queriam atestado de ruas urbanas. Entao nos desclassificaram sob o argumento de não atendimento ao edital</w:t>
        <w:br/>
        <w:br/>
        <w:t>II - DOS FUNDAMENTOS</w:t>
        <w:br/>
        <w:br/>
        <w:t>A desclassificação da recorrente em virtude da apresentação de atestado de capacidade técnica de projeto de asfalto de rodovia, sob a alegação de que o edital exigia atestado de ruas urbanas, caracteriza restrição indevida à competitividade, o que fere princípios fundamentais do procedimento licitatório, como os princípios da competitividade e da isonomia previstos no art. 37, inciso XXI, da Constituição Federal e na Lei nº 14.133/2021. O Tribunal de Contas da União (TCU) possui entendimento jurisprudencial consolidado quanto à necessidade de que as exigências de qualificação técnica estejam fundamentadas e sejam proporcionais ao objeto contratado. Em várias decisões, como o Acórdão 2673/2021 - TCU Plenário, o TCU afirmou que a Administração Pública deve adotar o princípio do formalismo moderado, evitando a desclassificação por falhas formais sanáveis durante o processo licitatório【4:8†source】【4:11†source】.</w:t>
        <w:br/>
        <w:br/>
        <w:t>Ainda, de acordo com a Lei nº 14.133/2021, em seu art. 67, caput, “os critérios de habilitação técnica devem comprovar que o licitante possui qualificações necessárias para executar o objeto da contratação, independente do nível de detalhamento que o edital pode exigir”. Acrescenta-se ao argumento a jurisprudência que enfatiza a possibilidade de uso de experiência técnica em projetos de natureza e complexidade similares ao contratado, independentemente de serem realizados em rodovias ou ruas urbanas, desde que compatíveis em termos de escopo e desafio técnico【4:12†source】【4:19†source】.</w:t>
        <w:br/>
        <w:br/>
        <w:t>III - DOS PEDIDOS</w:t>
        <w:br/>
        <w:br/>
        <w:t>Ante o exposto, requer:</w:t>
        <w:br/>
        <w:br/>
        <w:t>a) Que seja deferido o recurso, anulando-se a desclassificação da recorrente no certame, com a sua imediata reintegração ao processo licitatório.</w:t>
        <w:br/>
        <w:t>b) Que seja submetido à Comissão de Licitação o reexame da documentação técnica apresentada, considerando a equivalência do serviço prestado entre rodovias e vias urbanas.</w:t>
        <w:br/>
        <w:t>c) Que se suspenda o processo licitatório até a decisão final deste recurso, prevenindo-se danos irreparáveis às partes envolvidas.</w:t>
        <w:br/>
        <w:t xml:space="preserve">d) Sejam garantidos todos os direitos decorrentes da reintegração da proposta ao certame, com restabelecimento de prazos para nova análise objetiva de sua conformidade técnica. </w:t>
        <w:br/>
        <w:t>e) Que a decisão administrativa implicada seja precedida de despacho fundamentado, em conformidade com os princípios da publicidade e motivação.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