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A empresa XYZ Ltda. participou de um processo licitatório para fornecimento de equipamentos de informática para uma escola municipal. Apesar de apresentar a proposta com menor preço e atender a todos os requisitos técnicos do edital, foi desclassificada pelo pregoeiro sob alegação de que não apresentou certidão negativa de débitos municipais dentro do prazo de validade. No entanto, a empresa havia anexado a certidão válida no sistema, mas o pregoeiro não conseguiu visualizá-la devido a um problema técnico na plataforma de licitação.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A Lei nº 8.666/93, que estabelece normas para licitações e contratos da Administração Pública, consagra em seu artigo 3º o princípio da isonomia, que assegura a todos os concorrentes as mesmas chances de competir em igualdade de condições. A desclassificação da empresa XYZ Ltda., com base na ausência de certidão negativa de débitos municipais, viola este princípio, já que a empresa apresentou todos os documentos necessários, conforme exigido no edital.</w:t>
        <w:br/>
        <w:br/>
        <w:t>O artigo 44, § 3º, da mesma lei estipula que a fase de habilitação somente ocorrerá após a classificação das propostas. Nesse sentido, a jurisprudência do Tribunal de Contas da União (TCU) tem se posicionado no sentido de que deve ser garantido o direito ao contraditório e à ampla defesa nas licitações, inclusive com a possibilidade de regularização de falhas formais que não comprometem a seleção da proposta mais vantajosa para a administração (Acórdão 957/2019 – Plenário).</w:t>
        <w:br/>
        <w:br/>
        <w:t>Além disso, a jurisprudência do Superior Tribunal de Justiça (STJ) tem se manifestado no sentido de que a falha no sistema de licitação não pode prejudicar o licitante que cumpriu com todas as suas obrigações (REsp 1.321.506/RJ, Rel. Ministro Mauro Campbell Marques, Segunda Turma, DJe 26/6/2012).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Diante do exposto, requer-se:</w:t>
        <w:br/>
        <w:br/>
        <w:t>1. A anulação da desclassificação da empresa XYZ Ltda., com base no princípio da isonomia e no direito ao contraditório e à ampla defesa, garantidos pela Constituição Federal, pela Lei nº 8.666/93 e pela jurisprudência do TCU e do STJ;</w:t>
        <w:br/>
        <w:br/>
        <w:t>2. A reconsideração da análise da documentação apresentada por XYZ Ltda., levando em consideração a certidão negativa de débitos municipais apresentada dentro do prazo de validade, a qual não pôde ser visualizada por problema técnico na plataforma de licitação;</w:t>
        <w:br/>
        <w:br/>
        <w:t>3. A suspensão do processo licitatório até que seja julgado o presente recurso, a fim de evitar eventuais prejuízos à empresa recorrente.</w:t>
        <w:br/>
        <w:br/>
        <w:t>A empresa requer, ainda, que, após sanado o problema técnico, seja concedido novo prazo para a apresentação dos documentos necessários, caso se faça necessário, em respeito ao princípio do contraditório e da ampla defesa, garantindo a participação da empresa no certame em igualdade de condições com os demais licitantes.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