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Empresa concreta ltda não atendeu edital pois não apresentou balanço patrimonial dos dois exercicios e apresentou certidão de falencia vencida, no entanto foi habilitada pelo pregoeiro na sessão do dia 05/03/2025, decisão que deve ser revista.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No presente caso, a decisão do pregoeiro de habilitar a Empresa Concreta Ltda., que não apresentou balanço patrimonial dos dois últimos exercícios e cuja certidão de falência está vencida, contraria expressamente a Lei nº 14.133/2021, que rege o processo licitatório. Conforme o Art. 69 da referida lei, a habilitação econômico-financeira requer demonstrações contábeis dos dois últimos exercícios sociais para comprovar a aptidão econômica do licitante. A falta de tal documentação desrespeita a exigência legal e compromete a lisura do certame【4:2†source】 .</w:t>
        <w:br/>
        <w:br/>
        <w:t>Além disso, a certidão de falência vencida apresentada pela Empresa Concreta Ltda. viola o Art. 69, inciso II, da mesma lei, que requer certidão negativa de feitos sobre falência válida. A apresentação de documentos inválidos ou insuficientes infringe o princípio da vinculação ao instrumento convocatório e o princípio da legalidade, previstos na legislação licitatória. A jurisprudência do Tribunal de Contas da União (TCU) reitera que a exigência de certidões atualizadas é imperativa para garantir a regularidade do processo【4:13†source】 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a) Requer a reconsideração da decisão que habilitou a Empresa Concreta Ltda., promovendo sua imediata inabilitação, em razão do não atendimento aos requisitos editalícios estabelecidos pela Lei nº 14.133/2021.</w:t>
        <w:br/>
        <w:br/>
        <w:t>b) Que, sendo inabilitada a referida empresa, o certame retorne para a fase de habilitação das propostas, convocando-se o próximo licitante melhor classificado, observando-se o princípio da concorrência leal.</w:t>
        <w:br/>
        <w:br/>
        <w:t>c) Caso não haja reconsideração, que este recurso seja posicionado à autoridade superior, acompanhado de parecer jurídico fundamentado acerca das irregularidades apontadas nesta petição.</w:t>
        <w:br/>
        <w:br/>
        <w:t>d) Solicita-se, por fim, que, em caso de indeferimento deste pedido, seja concedido acesso integral aos autos do processo licitatório para eventual impugnação judicial futura.</w:t>
        <w:br/>
        <w:br/>
        <w:t>Termos em que,</w:t>
        <w:br/>
        <w:t>Pede deferimento.</w:t>
        <w:br/>
        <w:br/>
        <w:t>[Local e Data]</w:t>
        <w:br/>
        <w:br/>
        <w:t xml:space="preserve">[Nome e Assinatura do Advogado] </w:t>
        <w:br/>
        <w:br/>
        <w:t xml:space="preserve">[OAB e Contatos] </w:t>
        <w:br/>
        <w:br/>
        <w:t>Esta estrutura assegura que seja mantida a coerência com as normas legais e que os direitos dos demais licitantes sejam resguardados, promovendo um ambiente de competição justa e transparente【4:0†source】【4:6†source】.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09/03/2025.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